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9086FE">
      <w:pPr>
        <w:jc w:val="center"/>
        <w:rPr>
          <w:rFonts w:ascii="宋体" w:hAnsi="Calibri" w:eastAsia="宋体" w:cs="Times New Roman"/>
          <w:color w:val="000000"/>
          <w:sz w:val="30"/>
          <w:szCs w:val="30"/>
        </w:rPr>
      </w:pPr>
      <w:bookmarkStart w:id="0" w:name="OLE_LINK30"/>
      <w:bookmarkStart w:id="1" w:name="OLE_LINK31"/>
    </w:p>
    <w:p w14:paraId="71640846">
      <w:pPr>
        <w:spacing w:line="276" w:lineRule="auto"/>
        <w:jc w:val="center"/>
        <w:rPr>
          <w:rFonts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济南车桥公司</w:t>
      </w:r>
    </w:p>
    <w:p w14:paraId="253FC001">
      <w:pPr>
        <w:pStyle w:val="16"/>
        <w:jc w:val="center"/>
      </w:pPr>
      <w:r>
        <w:rPr>
          <w:rFonts w:hint="eastAsia" w:ascii="Calibri" w:hAnsi="宋体" w:eastAsia="宋体" w:cs="Times New Roman"/>
          <w:b/>
          <w:bCs/>
          <w:color w:val="000000"/>
          <w:spacing w:val="-8"/>
          <w:sz w:val="48"/>
          <w:szCs w:val="44"/>
          <w:lang w:eastAsia="zh-CN"/>
        </w:rPr>
        <w:t>桥壳加工线起重设备改造技改项目</w:t>
      </w:r>
    </w:p>
    <w:p w14:paraId="3711EEFF">
      <w:pPr>
        <w:pStyle w:val="16"/>
      </w:pPr>
    </w:p>
    <w:p w14:paraId="3BD232E8">
      <w:pPr>
        <w:jc w:val="right"/>
        <w:rPr>
          <w:rFonts w:ascii="Calibri" w:hAnsi="Calibri" w:eastAsia="宋体" w:cs="Times New Roman"/>
          <w:color w:val="000000"/>
          <w:sz w:val="28"/>
          <w:szCs w:val="28"/>
        </w:rPr>
      </w:pPr>
    </w:p>
    <w:p w14:paraId="355D1C9B">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37C676D5">
      <w:pPr>
        <w:jc w:val="center"/>
        <w:rPr>
          <w:rFonts w:ascii="黑体" w:hAnsi="宋体" w:eastAsia="黑体" w:cs="Times New Roman"/>
          <w:color w:val="000000"/>
          <w:sz w:val="72"/>
          <w:szCs w:val="72"/>
        </w:rPr>
      </w:pPr>
    </w:p>
    <w:p w14:paraId="38969DC4">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39AC6B35">
      <w:pPr>
        <w:jc w:val="center"/>
        <w:rPr>
          <w:rFonts w:ascii="黑体" w:hAnsi="宋体" w:eastAsia="黑体" w:cs="Times New Roman"/>
          <w:color w:val="000000"/>
          <w:sz w:val="72"/>
          <w:szCs w:val="72"/>
        </w:rPr>
      </w:pPr>
    </w:p>
    <w:p w14:paraId="5311BA9A">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5526DF83">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14:paraId="3ED1D9B3">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14:paraId="0060467C">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14:paraId="794B3F43">
      <w:pPr>
        <w:pStyle w:val="16"/>
        <w:rPr>
          <w:b/>
          <w:bCs/>
        </w:rPr>
      </w:pPr>
    </w:p>
    <w:p w14:paraId="36CBF606">
      <w:pPr>
        <w:jc w:val="center"/>
        <w:rPr>
          <w:rFonts w:hint="eastAsia" w:ascii="宋体" w:hAnsi="宋体" w:eastAsia="宋体" w:cs="Times New Roman"/>
          <w:color w:val="000000"/>
          <w:sz w:val="28"/>
          <w:szCs w:val="28"/>
          <w:lang w:eastAsia="zh-CN"/>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人：重汽（济南）车桥有限公司</w:t>
      </w:r>
    </w:p>
    <w:p w14:paraId="6103671A">
      <w:pPr>
        <w:jc w:val="center"/>
        <w:rPr>
          <w:rFonts w:hint="eastAsia" w:ascii="宋体" w:hAnsi="Calibri" w:eastAsia="宋体" w:cs="Times New Roman"/>
          <w:color w:val="000000"/>
          <w:sz w:val="28"/>
          <w:szCs w:val="28"/>
          <w:lang w:eastAsia="zh-CN"/>
        </w:rPr>
      </w:pPr>
      <w:r>
        <w:rPr>
          <w:rFonts w:hint="eastAsia" w:ascii="Calibri" w:hAnsi="Calibri" w:eastAsia="宋体" w:cs="Times New Roman"/>
          <w:color w:val="000000"/>
          <w:sz w:val="28"/>
          <w:szCs w:val="28"/>
          <w:lang w:eastAsia="zh-CN"/>
        </w:rPr>
        <w:t>2025年</w:t>
      </w:r>
      <w:r>
        <w:rPr>
          <w:rFonts w:hint="eastAsia" w:ascii="Calibri" w:hAnsi="Calibri" w:eastAsia="宋体" w:cs="Times New Roman"/>
          <w:color w:val="000000"/>
          <w:sz w:val="28"/>
          <w:szCs w:val="28"/>
          <w:lang w:val="en-US" w:eastAsia="zh-CN"/>
        </w:rPr>
        <w:t>11</w:t>
      </w:r>
      <w:r>
        <w:rPr>
          <w:rFonts w:hint="eastAsia" w:ascii="Calibri" w:hAnsi="Calibri" w:eastAsia="宋体" w:cs="Times New Roman"/>
          <w:color w:val="000000"/>
          <w:sz w:val="28"/>
          <w:szCs w:val="28"/>
          <w:lang w:eastAsia="zh-CN"/>
        </w:rPr>
        <w:t>月</w:t>
      </w:r>
    </w:p>
    <w:p w14:paraId="0F3BBF3E">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sdt>
      <w:sdtPr>
        <w:rPr>
          <w:rFonts w:ascii="宋体" w:hAnsi="宋体" w:eastAsia="宋体" w:cs="宋体"/>
          <w:b/>
          <w:bCs/>
          <w:sz w:val="48"/>
          <w:szCs w:val="48"/>
        </w:rPr>
        <w:id w:val="147459055"/>
        <w:docPartObj>
          <w:docPartGallery w:val="Table of Contents"/>
          <w:docPartUnique/>
        </w:docPartObj>
      </w:sdtPr>
      <w:sdtEndPr>
        <w:rPr>
          <w:rFonts w:hint="eastAsia" w:ascii="Calibri" w:hAnsi="Calibri" w:eastAsia="宋体" w:cs="Times New Roman"/>
          <w:b/>
          <w:bCs/>
          <w:kern w:val="44"/>
          <w:sz w:val="21"/>
          <w:szCs w:val="44"/>
        </w:rPr>
      </w:sdtEndPr>
      <w:sdtContent>
        <w:p w14:paraId="626137F5">
          <w:pPr>
            <w:spacing w:line="480" w:lineRule="auto"/>
            <w:jc w:val="center"/>
            <w:rPr>
              <w:rFonts w:cs="宋体"/>
              <w:b/>
              <w:bCs/>
              <w:sz w:val="48"/>
              <w:szCs w:val="48"/>
            </w:rPr>
          </w:pPr>
          <w:r>
            <w:rPr>
              <w:rFonts w:ascii="宋体" w:hAnsi="宋体" w:eastAsia="宋体" w:cs="宋体"/>
              <w:b/>
              <w:bCs/>
              <w:sz w:val="48"/>
              <w:szCs w:val="48"/>
            </w:rPr>
            <w:t>目录</w:t>
          </w:r>
        </w:p>
        <w:p w14:paraId="1004A3E3">
          <w:pPr>
            <w:pStyle w:val="23"/>
            <w:tabs>
              <w:tab w:val="right" w:leader="dot" w:pos="9071"/>
            </w:tabs>
            <w:spacing w:line="480" w:lineRule="auto"/>
            <w:rPr>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14:paraId="2AA9FBAA">
          <w:pPr>
            <w:pStyle w:val="23"/>
            <w:tabs>
              <w:tab w:val="right" w:leader="dot" w:pos="9071"/>
            </w:tabs>
            <w:spacing w:line="480" w:lineRule="auto"/>
            <w:rPr>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r>
            <w:rPr>
              <w:rFonts w:hint="eastAsia"/>
              <w:color w:val="auto"/>
              <w:sz w:val="32"/>
              <w:szCs w:val="32"/>
            </w:rPr>
            <w:t>7</w:t>
          </w:r>
        </w:p>
        <w:p w14:paraId="07CEDEB9">
          <w:pPr>
            <w:pStyle w:val="23"/>
            <w:tabs>
              <w:tab w:val="right" w:leader="dot" w:pos="9071"/>
            </w:tabs>
            <w:spacing w:line="480" w:lineRule="auto"/>
            <w:rPr>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14:paraId="567B86DE">
          <w:pPr>
            <w:pStyle w:val="23"/>
            <w:tabs>
              <w:tab w:val="right" w:leader="dot" w:pos="9071"/>
            </w:tabs>
            <w:spacing w:line="480" w:lineRule="auto"/>
            <w:rPr>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14:paraId="4D92ED48">
          <w:pPr>
            <w:pStyle w:val="23"/>
            <w:tabs>
              <w:tab w:val="right" w:leader="dot" w:pos="9071"/>
            </w:tabs>
            <w:spacing w:line="480" w:lineRule="auto"/>
            <w:rPr>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37</w:t>
          </w:r>
        </w:p>
        <w:p w14:paraId="39C51A7E">
          <w:pPr>
            <w:pStyle w:val="23"/>
            <w:tabs>
              <w:tab w:val="right" w:leader="dot" w:pos="9071"/>
            </w:tabs>
            <w:spacing w:line="480" w:lineRule="auto"/>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55</w:t>
          </w:r>
        </w:p>
        <w:p w14:paraId="6AC14F8B">
          <w:pPr>
            <w:pStyle w:val="16"/>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pgBorders>
                <w:top w:val="none" w:sz="0" w:space="0"/>
                <w:left w:val="none" w:sz="0" w:space="0"/>
                <w:bottom w:val="none" w:sz="0" w:space="0"/>
                <w:right w:val="none" w:sz="0" w:space="0"/>
              </w:pgBorders>
              <w:cols w:space="720" w:num="1"/>
              <w:docGrid w:linePitch="290" w:charSpace="-3931"/>
            </w:sectPr>
          </w:pPr>
          <w:r>
            <w:rPr>
              <w:rFonts w:hint="eastAsia" w:ascii="Calibri" w:hAnsi="Calibri" w:eastAsia="宋体" w:cs="Times New Roman"/>
              <w:bCs/>
              <w:kern w:val="44"/>
              <w:szCs w:val="44"/>
            </w:rPr>
            <w:fldChar w:fldCharType="end"/>
          </w:r>
        </w:p>
      </w:sdtContent>
    </w:sdt>
    <w:p w14:paraId="22DE2458">
      <w:pPr>
        <w:pStyle w:val="16"/>
        <w:numPr>
          <w:ilvl w:val="0"/>
          <w:numId w:val="1"/>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14:paraId="11162F28">
      <w:pPr>
        <w:pStyle w:val="16"/>
        <w:jc w:val="center"/>
        <w:rPr>
          <w:rFonts w:ascii="Calibri" w:hAnsi="Calibri" w:eastAsia="宋体" w:cs="Times New Roman"/>
          <w:b/>
          <w:bCs/>
          <w:kern w:val="44"/>
          <w:sz w:val="36"/>
          <w:szCs w:val="44"/>
        </w:rPr>
      </w:pPr>
    </w:p>
    <w:p w14:paraId="52CB889D">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6"/>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7B722E2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4AA5FC33">
            <w:pPr>
              <w:jc w:val="center"/>
              <w:rPr>
                <w:rStyle w:val="130"/>
                <w:rFonts w:ascii="宋体" w:hAnsi="宋体" w:eastAsia="宋体" w:cs="宋体"/>
                <w:b/>
                <w:sz w:val="28"/>
                <w:szCs w:val="28"/>
              </w:rPr>
            </w:pPr>
            <w:bookmarkStart w:id="3" w:name="_Toc346372875"/>
            <w:r>
              <w:rPr>
                <w:rStyle w:val="130"/>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3E6D9310">
            <w:pPr>
              <w:ind w:firstLine="562" w:firstLineChars="200"/>
              <w:jc w:val="center"/>
              <w:rPr>
                <w:rFonts w:ascii="宋体" w:hAnsi="宋体" w:eastAsia="宋体" w:cs="宋体"/>
                <w:b/>
                <w:bCs/>
                <w:sz w:val="28"/>
                <w:szCs w:val="28"/>
              </w:rPr>
            </w:pPr>
            <w:r>
              <w:rPr>
                <w:rStyle w:val="130"/>
                <w:rFonts w:hint="eastAsia" w:ascii="宋体" w:hAnsi="宋体" w:eastAsia="宋体" w:cs="宋体"/>
                <w:b/>
                <w:sz w:val="28"/>
                <w:szCs w:val="28"/>
              </w:rPr>
              <w:t>编  列  内  容</w:t>
            </w:r>
          </w:p>
        </w:tc>
      </w:tr>
      <w:tr w14:paraId="3AE4105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E1E9DAF">
            <w:pPr>
              <w:jc w:val="center"/>
              <w:rPr>
                <w:rFonts w:ascii="宋体" w:hAnsi="宋体" w:eastAsia="宋体" w:cs="宋体"/>
                <w:b/>
                <w:bCs/>
                <w:sz w:val="24"/>
                <w:szCs w:val="24"/>
              </w:rPr>
            </w:pPr>
            <w:r>
              <w:rPr>
                <w:rFonts w:hint="eastAsia" w:ascii="宋体" w:hAnsi="宋体" w:eastAsia="宋体" w:cs="宋体"/>
                <w:b/>
                <w:bCs/>
                <w:sz w:val="24"/>
                <w:szCs w:val="24"/>
              </w:rPr>
              <w:t>1.项目说明</w:t>
            </w:r>
          </w:p>
        </w:tc>
      </w:tr>
      <w:tr w14:paraId="2596585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271E127F">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6BB29F37">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项目名称：</w:t>
            </w:r>
            <w:r>
              <w:rPr>
                <w:rFonts w:hint="eastAsia" w:ascii="宋体" w:hAnsi="宋体" w:eastAsia="宋体" w:cs="宋体"/>
                <w:sz w:val="24"/>
                <w:szCs w:val="24"/>
                <w:u w:val="single"/>
                <w:lang w:eastAsia="zh-CN"/>
              </w:rPr>
              <w:t>济南车桥公司桥壳加工线起重设备改造技改项目</w:t>
            </w:r>
          </w:p>
        </w:tc>
      </w:tr>
      <w:tr w14:paraId="0A18F77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221D3B5B">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38745343">
            <w:pPr>
              <w:ind w:firstLine="482" w:firstLineChars="200"/>
              <w:rPr>
                <w:rFonts w:hint="eastAsia" w:ascii="宋体" w:hAnsi="宋体" w:eastAsia="宋体" w:cs="宋体"/>
                <w:b/>
                <w:bCs/>
                <w:sz w:val="24"/>
                <w:szCs w:val="24"/>
                <w:lang w:eastAsia="zh-CN"/>
              </w:rPr>
            </w:pPr>
            <w:r>
              <w:rPr>
                <w:rFonts w:hint="eastAsia" w:ascii="宋体" w:hAnsi="宋体" w:eastAsia="宋体" w:cs="宋体"/>
                <w:b/>
                <w:bCs/>
                <w:sz w:val="24"/>
                <w:szCs w:val="24"/>
              </w:rPr>
              <w:t>采购形式编号：</w:t>
            </w:r>
            <w:r>
              <w:rPr>
                <w:rFonts w:hint="eastAsia" w:ascii="宋体" w:hAnsi="宋体" w:eastAsia="宋体" w:cs="宋体"/>
                <w:sz w:val="24"/>
                <w:szCs w:val="24"/>
                <w:highlight w:val="none"/>
                <w:u w:val="single"/>
                <w:lang w:eastAsia="zh-CN"/>
              </w:rPr>
              <w:t>FSCZB2025110091</w:t>
            </w:r>
          </w:p>
        </w:tc>
      </w:tr>
      <w:tr w14:paraId="2C9EF08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08570174">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38415C88">
            <w:pPr>
              <w:ind w:firstLine="482" w:firstLineChars="200"/>
              <w:rPr>
                <w:rFonts w:ascii="宋体" w:hAnsi="宋体" w:eastAsia="宋体" w:cs="宋体"/>
                <w:sz w:val="24"/>
                <w:szCs w:val="24"/>
              </w:rPr>
            </w:pPr>
            <w:r>
              <w:rPr>
                <w:rFonts w:hint="eastAsia" w:ascii="宋体" w:hAnsi="宋体" w:eastAsia="宋体" w:cs="宋体"/>
                <w:b/>
                <w:bCs/>
                <w:sz w:val="24"/>
                <w:szCs w:val="24"/>
              </w:rPr>
              <w:t>招标内容：</w:t>
            </w:r>
            <w:r>
              <w:rPr>
                <w:rFonts w:hint="eastAsia" w:ascii="宋体" w:hAnsi="宋体" w:eastAsia="宋体" w:cs="宋体"/>
                <w:sz w:val="24"/>
                <w:szCs w:val="24"/>
                <w:u w:val="single"/>
                <w:lang w:eastAsia="zh-CN"/>
              </w:rPr>
              <w:t>新增</w:t>
            </w:r>
            <w:r>
              <w:rPr>
                <w:rFonts w:hint="eastAsia" w:ascii="宋体" w:hAnsi="宋体" w:eastAsia="宋体" w:cs="宋体"/>
                <w:sz w:val="24"/>
                <w:szCs w:val="24"/>
                <w:u w:val="single"/>
                <w:lang w:val="en-US" w:eastAsia="zh-CN"/>
              </w:rPr>
              <w:t>起重设备</w:t>
            </w:r>
            <w:r>
              <w:rPr>
                <w:rFonts w:hint="eastAsia" w:ascii="宋体" w:hAnsi="宋体" w:eastAsia="宋体" w:cs="宋体"/>
                <w:sz w:val="24"/>
                <w:szCs w:val="24"/>
                <w:u w:val="single"/>
              </w:rPr>
              <w:t>。</w:t>
            </w:r>
          </w:p>
        </w:tc>
      </w:tr>
      <w:tr w14:paraId="6C891E6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vMerge w:val="continue"/>
            <w:tcBorders>
              <w:left w:val="single" w:color="auto" w:sz="2" w:space="0"/>
              <w:bottom w:val="single" w:color="auto" w:sz="2" w:space="0"/>
              <w:right w:val="single" w:color="auto" w:sz="2" w:space="0"/>
            </w:tcBorders>
            <w:vAlign w:val="center"/>
          </w:tcPr>
          <w:p w14:paraId="17D1DA89">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177F52D2">
            <w:pPr>
              <w:ind w:firstLine="482" w:firstLineChars="200"/>
              <w:rPr>
                <w:rFonts w:ascii="宋体" w:hAnsi="宋体" w:eastAsia="宋体" w:cs="宋体"/>
                <w:b/>
                <w:bCs/>
                <w:sz w:val="24"/>
                <w:szCs w:val="24"/>
              </w:rPr>
            </w:pPr>
            <w:r>
              <w:rPr>
                <w:rFonts w:hint="eastAsia" w:ascii="宋体" w:hAnsi="宋体" w:eastAsia="宋体" w:cs="宋体"/>
                <w:b/>
                <w:bCs/>
                <w:sz w:val="24"/>
                <w:szCs w:val="24"/>
              </w:rPr>
              <w:t>招标形式：</w:t>
            </w:r>
            <w:r>
              <w:rPr>
                <w:rFonts w:hint="eastAsia" w:ascii="宋体" w:hAnsi="宋体" w:eastAsia="宋体" w:cs="宋体"/>
                <w:sz w:val="24"/>
                <w:szCs w:val="24"/>
                <w:highlight w:val="yellow"/>
              </w:rPr>
              <w:t>公开招标</w:t>
            </w:r>
          </w:p>
        </w:tc>
      </w:tr>
      <w:tr w14:paraId="1436911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24FC3C38">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4395DF5A">
            <w:pPr>
              <w:ind w:firstLine="482" w:firstLineChars="200"/>
              <w:rPr>
                <w:rFonts w:hint="eastAsia" w:ascii="宋体" w:hAnsi="宋体" w:eastAsia="宋体" w:cs="宋体"/>
                <w:bCs/>
                <w:snapToGrid w:val="0"/>
                <w:kern w:val="0"/>
                <w:sz w:val="24"/>
                <w:szCs w:val="24"/>
                <w:lang w:eastAsia="zh-CN"/>
              </w:rPr>
            </w:pPr>
            <w:r>
              <w:rPr>
                <w:rFonts w:hint="eastAsia" w:ascii="宋体" w:hAnsi="宋体" w:eastAsia="宋体" w:cs="宋体"/>
                <w:b/>
                <w:snapToGrid w:val="0"/>
                <w:kern w:val="0"/>
                <w:sz w:val="24"/>
                <w:szCs w:val="24"/>
              </w:rPr>
              <w:t>招标人名称：</w:t>
            </w:r>
            <w:r>
              <w:rPr>
                <w:rFonts w:hint="eastAsia" w:ascii="宋体" w:hAnsi="宋体" w:eastAsia="宋体" w:cs="宋体"/>
                <w:sz w:val="24"/>
                <w:szCs w:val="24"/>
                <w:u w:val="single"/>
                <w:lang w:eastAsia="zh-CN"/>
              </w:rPr>
              <w:t>重汽（济南）车桥有限公司</w:t>
            </w:r>
          </w:p>
          <w:p w14:paraId="5D70E975">
            <w:pPr>
              <w:ind w:firstLine="482" w:firstLineChars="200"/>
              <w:rPr>
                <w:rFonts w:ascii="宋体" w:hAnsi="宋体" w:eastAsia="宋体" w:cs="宋体"/>
                <w:sz w:val="24"/>
                <w:szCs w:val="24"/>
                <w:highlight w:val="none"/>
              </w:rPr>
            </w:pPr>
            <w:r>
              <w:rPr>
                <w:rFonts w:hint="eastAsia" w:ascii="宋体" w:hAnsi="宋体" w:eastAsia="宋体" w:cs="宋体"/>
                <w:b/>
                <w:snapToGrid w:val="0"/>
                <w:kern w:val="0"/>
                <w:sz w:val="24"/>
                <w:szCs w:val="24"/>
                <w:highlight w:val="none"/>
              </w:rPr>
              <w:t>招标人地址：</w:t>
            </w:r>
            <w:r>
              <w:rPr>
                <w:rFonts w:hint="eastAsia" w:ascii="宋体" w:hAnsi="宋体" w:eastAsia="宋体" w:cs="宋体"/>
                <w:sz w:val="24"/>
                <w:szCs w:val="24"/>
                <w:highlight w:val="none"/>
                <w:u w:val="single"/>
              </w:rPr>
              <w:t>济南市</w:t>
            </w:r>
            <w:r>
              <w:rPr>
                <w:rFonts w:hint="eastAsia" w:ascii="宋体" w:hAnsi="宋体" w:eastAsia="宋体" w:cs="宋体"/>
                <w:sz w:val="24"/>
                <w:szCs w:val="24"/>
                <w:highlight w:val="none"/>
                <w:u w:val="single"/>
                <w:lang w:val="en-US" w:eastAsia="zh-CN"/>
              </w:rPr>
              <w:t>历城区</w:t>
            </w:r>
            <w:r>
              <w:rPr>
                <w:rFonts w:hint="eastAsia" w:ascii="宋体" w:hAnsi="宋体" w:eastAsia="宋体" w:cs="宋体"/>
                <w:sz w:val="24"/>
                <w:szCs w:val="24"/>
                <w:highlight w:val="none"/>
                <w:u w:val="single"/>
              </w:rPr>
              <w:t>华奥路777号</w:t>
            </w:r>
          </w:p>
          <w:p w14:paraId="7F2F5C48">
            <w:pPr>
              <w:ind w:firstLine="482" w:firstLineChars="200"/>
              <w:rPr>
                <w:rFonts w:hint="eastAsia" w:ascii="宋体" w:hAnsi="宋体" w:eastAsia="宋体" w:cs="宋体"/>
                <w:bCs/>
                <w:snapToGrid w:val="0"/>
                <w:kern w:val="0"/>
                <w:sz w:val="24"/>
                <w:szCs w:val="24"/>
                <w:highlight w:val="none"/>
                <w:lang w:val="en-US" w:eastAsia="zh-CN"/>
              </w:rPr>
            </w:pPr>
            <w:bookmarkStart w:id="4" w:name="OLE_LINK2"/>
            <w:r>
              <w:rPr>
                <w:rFonts w:hint="eastAsia" w:ascii="宋体" w:hAnsi="宋体" w:eastAsia="宋体" w:cs="宋体"/>
                <w:b/>
                <w:snapToGrid w:val="0"/>
                <w:kern w:val="0"/>
                <w:sz w:val="24"/>
                <w:szCs w:val="24"/>
                <w:highlight w:val="none"/>
              </w:rPr>
              <w:t>商务联系人：</w:t>
            </w:r>
            <w:r>
              <w:rPr>
                <w:rFonts w:hint="eastAsia" w:ascii="宋体" w:hAnsi="宋体" w:eastAsia="宋体" w:cs="宋体"/>
                <w:b/>
                <w:snapToGrid w:val="0"/>
                <w:kern w:val="0"/>
                <w:sz w:val="24"/>
                <w:szCs w:val="24"/>
                <w:highlight w:val="none"/>
                <w:lang w:val="en-US" w:eastAsia="zh-CN"/>
              </w:rPr>
              <w:t>苏启蒙</w:t>
            </w:r>
          </w:p>
          <w:p w14:paraId="23B8719F">
            <w:pPr>
              <w:ind w:firstLine="482" w:firstLineChars="200"/>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电话：</w:t>
            </w:r>
            <w:r>
              <w:rPr>
                <w:rFonts w:hint="eastAsia" w:ascii="宋体" w:hAnsi="宋体" w:eastAsia="宋体" w:cs="宋体"/>
                <w:b/>
                <w:snapToGrid w:val="0"/>
                <w:kern w:val="0"/>
                <w:sz w:val="24"/>
                <w:szCs w:val="24"/>
                <w:highlight w:val="none"/>
                <w:lang w:val="en-US" w:eastAsia="zh-CN"/>
              </w:rPr>
              <w:t>17553108182</w:t>
            </w:r>
          </w:p>
          <w:p w14:paraId="486AEBEE">
            <w:pPr>
              <w:ind w:firstLine="482" w:firstLineChars="200"/>
              <w:rPr>
                <w:rFonts w:hint="eastAsia" w:ascii="宋体" w:hAnsi="宋体" w:eastAsia="宋体" w:cs="宋体"/>
                <w:b/>
                <w:snapToGrid w:val="0"/>
                <w:kern w:val="0"/>
                <w:sz w:val="24"/>
                <w:szCs w:val="24"/>
                <w:highlight w:val="none"/>
              </w:rPr>
            </w:pPr>
            <w:r>
              <w:rPr>
                <w:rFonts w:hint="eastAsia" w:ascii="宋体" w:hAnsi="宋体" w:eastAsia="宋体" w:cs="宋体"/>
                <w:b/>
                <w:snapToGrid w:val="0"/>
                <w:kern w:val="0"/>
                <w:sz w:val="24"/>
                <w:szCs w:val="24"/>
                <w:highlight w:val="none"/>
              </w:rPr>
              <w:t>邮箱：</w:t>
            </w:r>
            <w:bookmarkEnd w:id="4"/>
            <w:r>
              <w:rPr>
                <w:rFonts w:hint="eastAsia" w:ascii="宋体" w:hAnsi="宋体" w:eastAsia="宋体" w:cs="宋体"/>
                <w:b/>
                <w:snapToGrid w:val="0"/>
                <w:kern w:val="0"/>
                <w:sz w:val="24"/>
                <w:szCs w:val="24"/>
                <w:highlight w:val="none"/>
              </w:rPr>
              <w:t>suqimeng@sinotruk.com</w:t>
            </w:r>
          </w:p>
          <w:p w14:paraId="11D0E2AD">
            <w:pPr>
              <w:ind w:firstLine="482" w:firstLineChars="200"/>
              <w:rPr>
                <w:rFonts w:hint="default" w:ascii="宋体" w:hAnsi="宋体" w:eastAsia="宋体" w:cs="宋体"/>
                <w:bCs/>
                <w:snapToGrid w:val="0"/>
                <w:kern w:val="0"/>
                <w:sz w:val="24"/>
                <w:szCs w:val="24"/>
                <w:lang w:val="en-US" w:eastAsia="zh-CN"/>
              </w:rPr>
            </w:pPr>
            <w:r>
              <w:rPr>
                <w:rFonts w:hint="eastAsia" w:ascii="宋体" w:hAnsi="宋体" w:eastAsia="宋体" w:cs="宋体"/>
                <w:b/>
                <w:snapToGrid w:val="0"/>
                <w:kern w:val="0"/>
                <w:sz w:val="24"/>
                <w:szCs w:val="24"/>
                <w:lang w:val="en-US" w:eastAsia="zh-CN"/>
              </w:rPr>
              <w:t>技术</w:t>
            </w:r>
            <w:r>
              <w:rPr>
                <w:rFonts w:hint="eastAsia" w:ascii="宋体" w:hAnsi="宋体" w:eastAsia="宋体" w:cs="宋体"/>
                <w:b/>
                <w:snapToGrid w:val="0"/>
                <w:kern w:val="0"/>
                <w:sz w:val="24"/>
                <w:szCs w:val="24"/>
              </w:rPr>
              <w:t>联系人：</w:t>
            </w:r>
            <w:r>
              <w:rPr>
                <w:rFonts w:hint="eastAsia" w:ascii="宋体" w:hAnsi="宋体" w:eastAsia="宋体" w:cs="宋体"/>
                <w:bCs/>
                <w:snapToGrid w:val="0"/>
                <w:kern w:val="0"/>
                <w:sz w:val="24"/>
                <w:szCs w:val="24"/>
                <w:lang w:val="en-US" w:eastAsia="zh-CN"/>
              </w:rPr>
              <w:t>李杜卓</w:t>
            </w:r>
          </w:p>
          <w:p w14:paraId="09235316">
            <w:pPr>
              <w:ind w:firstLine="482" w:firstLineChars="200"/>
              <w:rPr>
                <w:rFonts w:ascii="宋体" w:hAnsi="宋体" w:eastAsia="宋体" w:cs="宋体"/>
                <w:bCs/>
                <w:snapToGrid w:val="0"/>
                <w:kern w:val="0"/>
                <w:sz w:val="24"/>
                <w:szCs w:val="24"/>
              </w:rPr>
            </w:pPr>
            <w:r>
              <w:rPr>
                <w:rFonts w:hint="eastAsia" w:ascii="宋体" w:hAnsi="宋体" w:eastAsia="宋体" w:cs="宋体"/>
                <w:b/>
                <w:snapToGrid w:val="0"/>
                <w:kern w:val="0"/>
                <w:sz w:val="24"/>
                <w:szCs w:val="24"/>
              </w:rPr>
              <w:t>电话：</w:t>
            </w:r>
            <w:r>
              <w:rPr>
                <w:rFonts w:hint="eastAsia" w:ascii="宋体" w:hAnsi="宋体" w:eastAsia="宋体" w:cs="宋体"/>
                <w:bCs/>
                <w:snapToGrid w:val="0"/>
                <w:kern w:val="0"/>
                <w:sz w:val="24"/>
                <w:szCs w:val="24"/>
              </w:rPr>
              <w:t>18265410835</w:t>
            </w:r>
          </w:p>
          <w:p w14:paraId="71DF3F9C">
            <w:pPr>
              <w:ind w:firstLine="482" w:firstLineChars="200"/>
            </w:pPr>
            <w:r>
              <w:rPr>
                <w:rFonts w:hint="eastAsia" w:ascii="宋体" w:hAnsi="宋体" w:eastAsia="宋体" w:cs="宋体"/>
                <w:b/>
                <w:snapToGrid w:val="0"/>
                <w:kern w:val="0"/>
                <w:sz w:val="24"/>
                <w:szCs w:val="24"/>
              </w:rPr>
              <w:t>邮箱：17865139657@163.com</w:t>
            </w:r>
          </w:p>
        </w:tc>
      </w:tr>
      <w:tr w14:paraId="70EBA8B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3DB24CE8">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0762C771">
            <w:pPr>
              <w:ind w:firstLine="482" w:firstLineChars="200"/>
              <w:rPr>
                <w:rFonts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14:paraId="1254523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60C5F8F9">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5D06B995">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14:paraId="0C7EAA17">
            <w:pPr>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14:paraId="472CDA0A">
            <w:pPr>
              <w:pStyle w:val="16"/>
              <w:ind w:firstLine="482" w:firstLineChars="200"/>
              <w:rPr>
                <w:rFonts w:eastAsia="宋体"/>
              </w:rPr>
            </w:pPr>
            <w:r>
              <w:rPr>
                <w:rFonts w:hint="eastAsia" w:hAnsi="宋体" w:eastAsia="宋体" w:cs="Times New Roman"/>
                <w:b/>
                <w:bCs/>
                <w:color w:val="000000"/>
                <w:sz w:val="24"/>
                <w:szCs w:val="24"/>
              </w:rPr>
              <w:t>投标限价</w:t>
            </w:r>
            <w:r>
              <w:rPr>
                <w:rFonts w:hint="eastAsia" w:hAnsi="宋体" w:eastAsia="宋体" w:cs="Times New Roman"/>
                <w:color w:val="000000"/>
                <w:sz w:val="24"/>
                <w:szCs w:val="24"/>
              </w:rPr>
              <w:t>：人民币</w:t>
            </w:r>
            <w:r>
              <w:rPr>
                <w:rFonts w:hint="eastAsia" w:hAnsi="宋体" w:eastAsia="宋体" w:cs="Times New Roman"/>
                <w:b/>
                <w:bCs/>
                <w:color w:val="000000"/>
                <w:sz w:val="24"/>
                <w:szCs w:val="24"/>
                <w:highlight w:val="yellow"/>
                <w:lang w:val="en-US" w:eastAsia="zh-CN"/>
              </w:rPr>
              <w:t>72.42</w:t>
            </w:r>
            <w:r>
              <w:rPr>
                <w:rFonts w:hint="eastAsia" w:hAnsi="宋体" w:eastAsia="宋体" w:cs="Times New Roman"/>
                <w:color w:val="000000"/>
                <w:sz w:val="24"/>
                <w:szCs w:val="24"/>
              </w:rPr>
              <w:t>万元（含税，税率13%），超过投标限价无法投标。</w:t>
            </w:r>
          </w:p>
        </w:tc>
      </w:tr>
      <w:tr w14:paraId="04122FB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66E8C662">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5DD789EE">
            <w:pPr>
              <w:pStyle w:val="16"/>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14:paraId="1F3ABD20">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1.拟投标人必须是在中华人民共和国境内注册的独立法人机构，具有独立承担民事责任能力；注册资金不少于</w:t>
            </w:r>
            <w:r>
              <w:rPr>
                <w:rFonts w:hint="eastAsia" w:hAnsi="宋体" w:eastAsia="宋体" w:cs="宋体"/>
                <w:color w:val="000000"/>
                <w:sz w:val="24"/>
                <w:szCs w:val="24"/>
                <w:lang w:val="en-US" w:eastAsia="zh-CN"/>
              </w:rPr>
              <w:t>100</w:t>
            </w:r>
            <w:r>
              <w:rPr>
                <w:rFonts w:hint="eastAsia" w:hAnsi="宋体" w:eastAsia="宋体" w:cs="宋体"/>
                <w:color w:val="000000"/>
                <w:sz w:val="24"/>
                <w:szCs w:val="24"/>
              </w:rPr>
              <w:t>万人民币（或等值其他货币）；公司成立三年以上（以营业执照成立日期到开标当日满三年为准），且经营范围满足招标人需求；并在人员、设备、资金等方面具有承担本项目的能力；</w:t>
            </w:r>
          </w:p>
          <w:p w14:paraId="5E543001">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2.拟投标人应提供营业执照副本原件和扫描件（需盖章）；</w:t>
            </w:r>
          </w:p>
          <w:p w14:paraId="2F40B978">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5031C33E">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4.在“国家企业信用信息公示系统”“中国执行信息公开网”“信用中国”“天眼查”“裁判文书网”等信息平台中，无行政处罚及失信记录等信息；</w:t>
            </w:r>
          </w:p>
          <w:p w14:paraId="049CCA50">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14:paraId="054001DA">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78911B93">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7.拟投标人有与本次招标内容相同或类似项目业绩，且近3年内无因服务不当而造成重大事故；</w:t>
            </w:r>
          </w:p>
          <w:p w14:paraId="368738CF">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w:t>
            </w:r>
          </w:p>
          <w:p w14:paraId="38D7B325">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14:paraId="202F523E">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10.拟投标人财务状况良好，最近半年纳税正常；</w:t>
            </w:r>
          </w:p>
          <w:p w14:paraId="22EFCFB5">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11.拟投标人信用证明材料（征信中心出具的信用报告）未显示异常；</w:t>
            </w:r>
          </w:p>
          <w:p w14:paraId="2C34676D">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12.拟投标人的直接或间接股东、法定代表人、董事、监事、高管非重汽员工及其亲属；</w:t>
            </w:r>
          </w:p>
          <w:p w14:paraId="6D7948BE">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13.</w:t>
            </w:r>
            <w:r>
              <w:rPr>
                <w:rFonts w:hint="eastAsia" w:hAnsi="宋体" w:eastAsia="宋体" w:cs="宋体"/>
                <w:color w:val="000000"/>
                <w:kern w:val="2"/>
                <w:sz w:val="24"/>
                <w:szCs w:val="24"/>
                <w:highlight w:val="none"/>
                <w:lang w:val="en-US" w:eastAsia="zh-CN" w:bidi="ar-SA"/>
              </w:rPr>
              <w:t>投标单位需为设备制造单位</w:t>
            </w:r>
            <w:r>
              <w:rPr>
                <w:rFonts w:hint="eastAsia" w:hAnsi="宋体" w:eastAsia="宋体" w:cs="宋体"/>
                <w:color w:val="000000"/>
                <w:sz w:val="24"/>
                <w:szCs w:val="24"/>
              </w:rPr>
              <w:t>；；</w:t>
            </w:r>
          </w:p>
          <w:p w14:paraId="20D040B4">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14.本项目不接受联合体投标，拟投标人必须是最终投标单位和签订合同单位，不得以任何理由将已中标项目以任何形式分包或转包给其他单位；</w:t>
            </w:r>
          </w:p>
          <w:p w14:paraId="6660E8CB">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15.无招标违规、谎报年度报告信息、提供虚假资质资料等行为或其他行政处罚记录。</w:t>
            </w:r>
          </w:p>
          <w:p w14:paraId="1671949F">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16.投标方应保证所供货物（或设备）必须符合当前国家或地方最新安全、环保、消防、职业健康最新法律法规及《机械制造企业安全生产标准化规范》各项要求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14:paraId="1387A5BF">
            <w:pPr>
              <w:pStyle w:val="16"/>
              <w:ind w:firstLine="482" w:firstLineChars="200"/>
              <w:rPr>
                <w:rFonts w:hAnsi="宋体" w:eastAsia="宋体" w:cs="宋体"/>
                <w:color w:val="000000"/>
                <w:sz w:val="24"/>
                <w:szCs w:val="24"/>
              </w:rPr>
            </w:pPr>
            <w:r>
              <w:rPr>
                <w:rFonts w:hint="eastAsia" w:hAnsi="宋体" w:eastAsia="宋体" w:cs="宋体"/>
                <w:b/>
                <w:bCs/>
                <w:sz w:val="24"/>
                <w:szCs w:val="24"/>
              </w:rPr>
              <w:t>1-11</w:t>
            </w:r>
            <w:r>
              <w:rPr>
                <w:rFonts w:hAnsi="宋体" w:eastAsia="宋体" w:cs="宋体"/>
                <w:b/>
                <w:bCs/>
                <w:sz w:val="24"/>
                <w:szCs w:val="24"/>
              </w:rPr>
              <w:t>项文件必须提供，未提供者直接视为资质、资格审查未通过，无法继续参与投标！</w:t>
            </w:r>
          </w:p>
        </w:tc>
      </w:tr>
      <w:tr w14:paraId="0E9DA16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74DA75F">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14:paraId="1EADC22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42546EBD">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122DEE7A">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lang w:eastAsia="zh-CN"/>
              </w:rPr>
              <w:t>2025年</w:t>
            </w:r>
            <w:r>
              <w:rPr>
                <w:rFonts w:hint="eastAsia" w:ascii="宋体" w:hAnsi="宋体" w:eastAsia="宋体" w:cs="宋体"/>
                <w:bCs/>
                <w:sz w:val="24"/>
                <w:szCs w:val="24"/>
                <w:highlight w:val="yellow"/>
                <w:lang w:val="en-US" w:eastAsia="zh-CN"/>
              </w:rPr>
              <w:t>11</w:t>
            </w:r>
            <w:r>
              <w:rPr>
                <w:rFonts w:hint="eastAsia" w:ascii="宋体" w:hAnsi="宋体" w:eastAsia="宋体" w:cs="宋体"/>
                <w:bCs/>
                <w:sz w:val="24"/>
                <w:szCs w:val="24"/>
                <w:highlight w:val="yellow"/>
                <w:lang w:eastAsia="zh-CN"/>
              </w:rPr>
              <w:t>月</w:t>
            </w:r>
            <w:r>
              <w:rPr>
                <w:rFonts w:hint="eastAsia" w:ascii="宋体" w:hAnsi="宋体" w:eastAsia="宋体" w:cs="宋体"/>
                <w:bCs/>
                <w:sz w:val="24"/>
                <w:szCs w:val="24"/>
                <w:highlight w:val="yellow"/>
                <w:lang w:val="en-US" w:eastAsia="zh-CN"/>
              </w:rPr>
              <w:t>7</w:t>
            </w:r>
            <w:r>
              <w:rPr>
                <w:rFonts w:hint="eastAsia" w:ascii="宋体" w:hAnsi="宋体" w:eastAsia="宋体" w:cs="宋体"/>
                <w:bCs/>
                <w:sz w:val="24"/>
                <w:szCs w:val="24"/>
                <w:highlight w:val="yellow"/>
              </w:rPr>
              <w:t>日;</w:t>
            </w:r>
          </w:p>
        </w:tc>
      </w:tr>
      <w:tr w14:paraId="0522E1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42A03A6A">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4DEEB7B2">
            <w:pPr>
              <w:ind w:firstLine="482" w:firstLineChars="200"/>
              <w:rPr>
                <w:rFonts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r>
              <w:rPr>
                <w:rFonts w:hint="eastAsia" w:ascii="宋体" w:hAnsi="宋体" w:eastAsia="宋体" w:cs="宋体"/>
                <w:sz w:val="24"/>
                <w:szCs w:val="24"/>
              </w:rPr>
              <w:t>、山东省阳光采购服务平台、中国招标投标公共服务平台等公开媒体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tc>
      </w:tr>
      <w:tr w14:paraId="29BAC8B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5EC9ACD8">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79C09023">
            <w:pPr>
              <w:ind w:firstLine="480" w:firstLineChars="200"/>
              <w:jc w:val="left"/>
              <w:rPr>
                <w:rFonts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14:paraId="092E7692">
            <w:pPr>
              <w:ind w:firstLine="482" w:firstLineChars="200"/>
              <w:jc w:val="left"/>
              <w:rPr>
                <w:rFonts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5</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lang w:val="en-US" w:eastAsia="zh-CN"/>
              </w:rPr>
              <w:t>11</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日1</w:t>
            </w:r>
            <w:r>
              <w:rPr>
                <w:rFonts w:hint="eastAsia" w:ascii="宋体" w:hAnsi="宋体" w:eastAsia="宋体" w:cs="宋体"/>
                <w:bCs/>
                <w:sz w:val="24"/>
                <w:szCs w:val="24"/>
                <w:highlight w:val="yellow"/>
                <w:lang w:val="en-US" w:eastAsia="zh-CN"/>
              </w:rPr>
              <w:t>2</w:t>
            </w:r>
            <w:r>
              <w:rPr>
                <w:rFonts w:hint="eastAsia" w:ascii="宋体" w:hAnsi="宋体" w:eastAsia="宋体" w:cs="宋体"/>
                <w:bCs/>
                <w:sz w:val="24"/>
                <w:szCs w:val="24"/>
                <w:highlight w:val="yellow"/>
              </w:rPr>
              <w:t>:00:00前；</w:t>
            </w:r>
          </w:p>
          <w:p w14:paraId="6716B5F2">
            <w:pPr>
              <w:ind w:firstLine="482" w:firstLineChars="200"/>
              <w:jc w:val="left"/>
              <w:rPr>
                <w:rFonts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14:paraId="5F396313">
            <w:pPr>
              <w:ind w:firstLine="482" w:firstLineChars="200"/>
              <w:jc w:val="left"/>
              <w:rPr>
                <w:rFonts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14:paraId="778B2F4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0F0A1AA4">
            <w:pPr>
              <w:jc w:val="center"/>
              <w:rPr>
                <w:rFonts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4B23223F">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5</w:t>
            </w:r>
            <w:r>
              <w:rPr>
                <w:rFonts w:hint="eastAsia" w:ascii="宋体" w:hAnsi="宋体" w:eastAsia="宋体" w:cs="宋体"/>
                <w:sz w:val="24"/>
                <w:szCs w:val="24"/>
                <w:highlight w:val="yellow"/>
              </w:rPr>
              <w:t>年</w:t>
            </w:r>
            <w:r>
              <w:rPr>
                <w:rFonts w:hint="eastAsia" w:ascii="宋体" w:hAnsi="宋体" w:eastAsia="宋体" w:cs="宋体"/>
                <w:sz w:val="24"/>
                <w:szCs w:val="24"/>
                <w:highlight w:val="yellow"/>
                <w:lang w:val="en-US" w:eastAsia="zh-CN"/>
              </w:rPr>
              <w:t>11</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10</w:t>
            </w:r>
            <w:r>
              <w:rPr>
                <w:rFonts w:hint="eastAsia" w:ascii="宋体" w:hAnsi="宋体" w:eastAsia="宋体" w:cs="宋体"/>
                <w:sz w:val="24"/>
                <w:szCs w:val="24"/>
                <w:highlight w:val="yellow"/>
              </w:rPr>
              <w:t>日</w:t>
            </w:r>
            <w:r>
              <w:rPr>
                <w:rFonts w:hint="eastAsia" w:ascii="宋体" w:hAnsi="宋体" w:eastAsia="宋体" w:cs="宋体"/>
                <w:bCs/>
                <w:sz w:val="24"/>
                <w:szCs w:val="24"/>
                <w:highlight w:val="yellow"/>
              </w:rPr>
              <w:t>17:00:00</w:t>
            </w:r>
            <w:r>
              <w:rPr>
                <w:rFonts w:hint="eastAsia" w:ascii="宋体" w:hAnsi="宋体" w:eastAsia="宋体" w:cs="宋体"/>
                <w:sz w:val="24"/>
                <w:szCs w:val="24"/>
              </w:rPr>
              <w:t>前；</w:t>
            </w:r>
          </w:p>
          <w:p w14:paraId="6C1DCDFE">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14:paraId="47B41D8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4E1371E3">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16B8EC61">
            <w:pPr>
              <w:pStyle w:val="113"/>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，注册完毕后按照</w:t>
            </w:r>
            <w:r>
              <w:rPr>
                <w:rFonts w:hint="eastAsia" w:eastAsia="宋体" w:cs="宋体"/>
                <w:b/>
              </w:rPr>
              <w:t>“SRM系统供应商用户手册（附件16）”，</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后进入“供应商应标”，选择对应的项目，点击“</w:t>
            </w:r>
            <w:r>
              <w:rPr>
                <w:rFonts w:hint="eastAsia" w:eastAsia="宋体" w:cs="Times New Roman"/>
                <w:b/>
                <w:bCs/>
              </w:rPr>
              <w:t>应标</w:t>
            </w:r>
            <w:r>
              <w:rPr>
                <w:rFonts w:hint="eastAsia" w:eastAsia="宋体" w:cs="Times New Roman"/>
              </w:rPr>
              <w:t>”</w:t>
            </w:r>
            <w:r>
              <w:rPr>
                <w:rFonts w:hint="eastAsia" w:eastAsia="宋体" w:cs="Times New Roman"/>
                <w:b/>
                <w:bCs/>
              </w:rPr>
              <w:t>后按照招标文件第三部分投标文件组成资格证明文件中的1.1</w:t>
            </w:r>
            <w:r>
              <w:rPr>
                <w:rFonts w:eastAsia="宋体" w:cs="Times New Roman"/>
                <w:b/>
                <w:bCs/>
              </w:rPr>
              <w:t>-</w:t>
            </w:r>
            <w:r>
              <w:rPr>
                <w:rFonts w:hint="eastAsia" w:eastAsia="宋体" w:cs="Times New Roman"/>
                <w:b/>
                <w:bCs/>
              </w:rPr>
              <w:t>1.13准备资料并</w:t>
            </w:r>
            <w:r>
              <w:rPr>
                <w:rFonts w:hint="eastAsia" w:eastAsia="宋体" w:cs="Times New Roman"/>
              </w:rPr>
              <w:t>上传，资质审查通过即为报名成功</w:t>
            </w:r>
            <w:r>
              <w:rPr>
                <w:rFonts w:hint="eastAsia" w:hAnsi="Courier New" w:eastAsia="宋体" w:cs="Times New Roman"/>
              </w:rPr>
              <w:t>；公示期间请尽快报名</w:t>
            </w:r>
            <w:r>
              <w:rPr>
                <w:rFonts w:hint="eastAsia" w:eastAsia="宋体" w:cs="宋体"/>
              </w:rPr>
              <w:t>。</w:t>
            </w:r>
          </w:p>
        </w:tc>
      </w:tr>
      <w:tr w14:paraId="3BD20A0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6B30AD36">
            <w:pPr>
              <w:jc w:val="left"/>
            </w:pPr>
          </w:p>
        </w:tc>
        <w:tc>
          <w:tcPr>
            <w:tcW w:w="8363" w:type="dxa"/>
            <w:tcBorders>
              <w:top w:val="single" w:color="auto" w:sz="2" w:space="0"/>
              <w:left w:val="single" w:color="auto" w:sz="2" w:space="0"/>
              <w:bottom w:val="single" w:color="auto" w:sz="2" w:space="0"/>
              <w:right w:val="single" w:color="auto" w:sz="2" w:space="0"/>
            </w:tcBorders>
            <w:vAlign w:val="center"/>
          </w:tcPr>
          <w:p w14:paraId="7883062B">
            <w:pPr>
              <w:pStyle w:val="113"/>
              <w:spacing w:line="240" w:lineRule="auto"/>
              <w:ind w:firstLine="482"/>
              <w:rPr>
                <w:rFonts w:eastAsia="宋体" w:cs="宋体"/>
                <w:highlight w:val="yellow"/>
              </w:rPr>
            </w:pPr>
            <w:r>
              <w:rPr>
                <w:rFonts w:hint="eastAsia" w:eastAsia="宋体" w:cs="宋体"/>
                <w:b/>
                <w:bCs/>
              </w:rPr>
              <w:t>应标截止时间：</w:t>
            </w: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5</w:t>
            </w:r>
            <w:r>
              <w:rPr>
                <w:rFonts w:hint="eastAsia" w:ascii="宋体" w:hAnsi="宋体" w:eastAsia="宋体" w:cs="宋体"/>
                <w:sz w:val="24"/>
                <w:szCs w:val="24"/>
                <w:highlight w:val="yellow"/>
              </w:rPr>
              <w:t>年</w:t>
            </w:r>
            <w:r>
              <w:rPr>
                <w:rFonts w:hint="eastAsia" w:eastAsia="宋体" w:cs="宋体"/>
                <w:sz w:val="24"/>
                <w:szCs w:val="24"/>
                <w:highlight w:val="yellow"/>
                <w:lang w:val="en-US" w:eastAsia="zh-CN"/>
              </w:rPr>
              <w:t>11</w:t>
            </w:r>
            <w:r>
              <w:rPr>
                <w:rFonts w:hint="eastAsia" w:ascii="宋体" w:hAnsi="宋体" w:eastAsia="宋体" w:cs="宋体"/>
                <w:sz w:val="24"/>
                <w:szCs w:val="24"/>
                <w:highlight w:val="yellow"/>
              </w:rPr>
              <w:t>月</w:t>
            </w:r>
            <w:r>
              <w:rPr>
                <w:rFonts w:hint="eastAsia" w:eastAsia="宋体" w:cs="宋体"/>
                <w:sz w:val="24"/>
                <w:szCs w:val="24"/>
                <w:highlight w:val="yellow"/>
                <w:lang w:val="en-US" w:eastAsia="zh-CN"/>
              </w:rPr>
              <w:t>14</w:t>
            </w:r>
            <w:r>
              <w:rPr>
                <w:rFonts w:hint="eastAsia" w:ascii="宋体" w:hAnsi="宋体" w:eastAsia="宋体" w:cs="宋体"/>
                <w:sz w:val="24"/>
                <w:szCs w:val="24"/>
                <w:highlight w:val="yellow"/>
              </w:rPr>
              <w:t>日</w:t>
            </w:r>
            <w:r>
              <w:rPr>
                <w:rFonts w:hint="eastAsia" w:ascii="宋体" w:hAnsi="宋体" w:eastAsia="宋体" w:cs="宋体"/>
                <w:bCs/>
                <w:sz w:val="24"/>
                <w:szCs w:val="24"/>
                <w:highlight w:val="yellow"/>
              </w:rPr>
              <w:t>17:00:00</w:t>
            </w:r>
            <w:r>
              <w:rPr>
                <w:rFonts w:hint="eastAsia" w:eastAsia="宋体" w:cs="宋体"/>
                <w:bCs/>
                <w:highlight w:val="yellow"/>
              </w:rPr>
              <w:t>前</w:t>
            </w:r>
          </w:p>
          <w:p w14:paraId="057CE6BA">
            <w:pPr>
              <w:pStyle w:val="113"/>
              <w:spacing w:line="240" w:lineRule="auto"/>
              <w:ind w:firstLine="482"/>
              <w:rPr>
                <w:rFonts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14:paraId="370878F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4A7FB31">
            <w:pPr>
              <w:jc w:val="center"/>
              <w:rPr>
                <w:rFonts w:ascii="宋体" w:hAnsi="宋体" w:eastAsia="宋体" w:cs="宋体"/>
                <w:b/>
                <w:bCs/>
                <w:sz w:val="24"/>
                <w:szCs w:val="24"/>
              </w:rPr>
            </w:pPr>
            <w:r>
              <w:rPr>
                <w:rFonts w:hint="eastAsia" w:ascii="宋体" w:hAnsi="宋体" w:eastAsia="宋体" w:cs="宋体"/>
                <w:b/>
                <w:bCs/>
                <w:sz w:val="24"/>
                <w:szCs w:val="24"/>
              </w:rPr>
              <w:t>3.投标文件的组成、编制及投递</w:t>
            </w:r>
          </w:p>
        </w:tc>
      </w:tr>
      <w:tr w14:paraId="13C678C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745B67F3">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5C21C8F8">
            <w:pPr>
              <w:ind w:firstLine="480" w:firstLineChars="200"/>
              <w:rPr>
                <w:rFonts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w:t>
            </w:r>
            <w:r>
              <w:rPr>
                <w:rFonts w:hint="eastAsia" w:eastAsia="宋体" w:cs="宋体"/>
                <w:bCs/>
                <w:sz w:val="24"/>
                <w:szCs w:val="24"/>
                <w:highlight w:val="yellow"/>
              </w:rPr>
              <w:t>（电子版为纸质盖章版的扫描件）</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14:paraId="6BE1853C">
            <w:pPr>
              <w:ind w:firstLine="482" w:firstLineChars="200"/>
              <w:rPr>
                <w:rFonts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14:paraId="14D45DF0">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14:paraId="190A918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70B1590F">
            <w:pPr>
              <w:jc w:val="center"/>
              <w:rPr>
                <w:rFonts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058A0BA8">
            <w:pPr>
              <w:ind w:firstLine="482" w:firstLineChars="200"/>
              <w:rPr>
                <w:rFonts w:eastAsia="宋体" w:cs="宋体"/>
                <w:bCs/>
                <w:sz w:val="24"/>
                <w:szCs w:val="24"/>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p w14:paraId="74179BC0">
            <w:pPr>
              <w:ind w:firstLine="420" w:firstLineChars="200"/>
              <w:rPr>
                <w:rFonts w:hint="default" w:ascii="宋体" w:hAnsi="宋体" w:eastAsia="宋体" w:cs="Times New Roman"/>
                <w:color w:val="000000"/>
                <w:sz w:val="24"/>
                <w:szCs w:val="24"/>
                <w:lang w:val="en-US" w:eastAsia="zh-CN"/>
              </w:rPr>
            </w:pPr>
            <w:r>
              <w:rPr>
                <w:rFonts w:hint="eastAsia"/>
                <w:bCs/>
              </w:rPr>
              <w:t xml:space="preserve"> </w:t>
            </w:r>
            <w:r>
              <w:rPr>
                <w:rFonts w:hint="eastAsia" w:eastAsia="宋体" w:cs="宋体"/>
                <w:bCs/>
                <w:sz w:val="24"/>
                <w:szCs w:val="24"/>
              </w:rPr>
              <w:t>纸质版投标文件的份数要求为</w:t>
            </w:r>
            <w:r>
              <w:rPr>
                <w:rFonts w:hint="eastAsia" w:ascii="宋体" w:hAnsi="宋体" w:eastAsia="宋体" w:cs="宋体"/>
                <w:b/>
                <w:sz w:val="24"/>
                <w:szCs w:val="24"/>
                <w:highlight w:val="yellow"/>
              </w:rPr>
              <w:t>正本一份，</w:t>
            </w:r>
            <w:r>
              <w:rPr>
                <w:rFonts w:hint="eastAsia" w:ascii="宋体" w:hAnsi="宋体" w:eastAsia="宋体" w:cs="宋体"/>
                <w:bCs/>
                <w:sz w:val="24"/>
                <w:szCs w:val="24"/>
              </w:rPr>
              <w:t>资质投标书、技术投标书及商务投标书的</w:t>
            </w:r>
            <w:r>
              <w:rPr>
                <w:rFonts w:hint="eastAsia" w:eastAsia="宋体" w:cs="宋体"/>
                <w:b/>
                <w:sz w:val="24"/>
                <w:szCs w:val="24"/>
              </w:rPr>
              <w:t>同类文件封装在一个包封里，包封表面按照附件13标注文件信息；共计三个包封</w:t>
            </w:r>
            <w:r>
              <w:rPr>
                <w:rFonts w:hint="eastAsia" w:eastAsia="宋体" w:cs="宋体"/>
                <w:bCs/>
                <w:sz w:val="24"/>
                <w:szCs w:val="24"/>
              </w:rPr>
              <w:t>。</w:t>
            </w:r>
          </w:p>
        </w:tc>
      </w:tr>
      <w:tr w14:paraId="0BCD869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9" w:hRule="atLeast"/>
        </w:trPr>
        <w:tc>
          <w:tcPr>
            <w:tcW w:w="595" w:type="dxa"/>
            <w:tcBorders>
              <w:top w:val="single" w:color="auto" w:sz="2" w:space="0"/>
              <w:left w:val="single" w:color="auto" w:sz="2" w:space="0"/>
              <w:bottom w:val="single" w:color="auto" w:sz="2" w:space="0"/>
              <w:right w:val="single" w:color="auto" w:sz="2" w:space="0"/>
            </w:tcBorders>
            <w:vAlign w:val="center"/>
          </w:tcPr>
          <w:p w14:paraId="077010D2">
            <w:pPr>
              <w:jc w:val="center"/>
              <w:rPr>
                <w:rFonts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14:paraId="3A8BB85E">
            <w:pPr>
              <w:pStyle w:val="16"/>
              <w:ind w:firstLine="482" w:firstLineChars="200"/>
              <w:rPr>
                <w:rFonts w:hAnsi="宋体" w:eastAsia="宋体" w:cs="宋体"/>
                <w:b/>
                <w:bCs/>
                <w:sz w:val="24"/>
                <w:szCs w:val="24"/>
              </w:rPr>
            </w:pPr>
            <w:r>
              <w:rPr>
                <w:rFonts w:hint="eastAsia" w:hAnsi="宋体" w:eastAsia="宋体" w:cs="宋体"/>
                <w:b/>
                <w:bCs/>
                <w:sz w:val="24"/>
              </w:rPr>
              <w:t>纸质版投标文件和电子版投标文件必须保证内容一致；如确实存在不一致的，以电子标书为准，同时要求投标人对纸版标书做出修正。</w:t>
            </w:r>
          </w:p>
        </w:tc>
      </w:tr>
      <w:tr w14:paraId="35CE9C9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37A5ACA7">
            <w:pPr>
              <w:jc w:val="center"/>
              <w:rPr>
                <w:rFonts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14:paraId="378A80EF">
            <w:pPr>
              <w:pStyle w:val="2"/>
              <w:spacing w:before="0" w:after="0" w:afterLines="0" w:line="240" w:lineRule="auto"/>
              <w:ind w:firstLine="482" w:firstLineChars="200"/>
              <w:rPr>
                <w:rFonts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272044A1">
            <w:pPr>
              <w:pStyle w:val="16"/>
              <w:rPr>
                <w:rFonts w:eastAsia="宋体" w:cs="宋体" w:asciiTheme="minorHAnsi" w:hAnsiTheme="minorHAnsi"/>
                <w:b/>
                <w:sz w:val="24"/>
                <w:szCs w:val="24"/>
              </w:rPr>
            </w:pPr>
            <w:r>
              <w:rPr>
                <w:rFonts w:hint="eastAsia" w:hAnsi="宋体" w:eastAsia="宋体" w:cs="宋体"/>
                <w:b/>
                <w:bCs/>
                <w:sz w:val="24"/>
                <w:szCs w:val="24"/>
              </w:rPr>
              <w:t>技术标书和商务标书不单独装订的，投标文件做无效标处理。</w:t>
            </w:r>
          </w:p>
        </w:tc>
      </w:tr>
      <w:tr w14:paraId="5941FBC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4095D744">
            <w:pPr>
              <w:jc w:val="center"/>
              <w:rPr>
                <w:rFonts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14:paraId="5D2739F4">
            <w:pPr>
              <w:pStyle w:val="16"/>
              <w:ind w:firstLine="482" w:firstLineChars="200"/>
              <w:rPr>
                <w:rFonts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11</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21</w:t>
            </w:r>
            <w:r>
              <w:rPr>
                <w:rFonts w:hint="eastAsia" w:hAnsi="宋体" w:eastAsia="宋体" w:cs="宋体"/>
                <w:sz w:val="24"/>
                <w:szCs w:val="24"/>
                <w:highlight w:val="yellow"/>
              </w:rPr>
              <w:t>日上午 9:00:00（北京时间）</w:t>
            </w:r>
          </w:p>
          <w:p w14:paraId="25A80853">
            <w:pPr>
              <w:pStyle w:val="16"/>
              <w:ind w:firstLine="482" w:firstLineChars="200"/>
              <w:rPr>
                <w:rFonts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14:paraId="0EAEA95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1AC5C604">
            <w:pPr>
              <w:jc w:val="center"/>
              <w:rPr>
                <w:rFonts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14:paraId="7BE41658">
            <w:pPr>
              <w:ind w:firstLine="482" w:firstLineChars="200"/>
              <w:rPr>
                <w:rFonts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14:paraId="398CEE7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74A493E">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457AAD9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4B17DC41">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592A0E06">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14:paraId="761DAD0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03F66B33">
            <w:pPr>
              <w:jc w:val="center"/>
              <w:rPr>
                <w:rFonts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3D1FC69A">
            <w:pPr>
              <w:tabs>
                <w:tab w:val="left" w:pos="932"/>
              </w:tabs>
              <w:ind w:firstLine="482" w:firstLineChars="200"/>
              <w:rPr>
                <w:rFonts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10000</w:t>
            </w:r>
            <w:r>
              <w:rPr>
                <w:rFonts w:hint="eastAsia" w:ascii="宋体" w:hAnsi="宋体" w:eastAsia="宋体" w:cs="宋体"/>
                <w:sz w:val="24"/>
                <w:szCs w:val="24"/>
                <w:highlight w:val="yellow"/>
              </w:rPr>
              <w:t>.00元</w:t>
            </w:r>
          </w:p>
          <w:p w14:paraId="4D13651D">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开户名称：重汽（济南）车桥有限公司</w:t>
            </w:r>
          </w:p>
          <w:p w14:paraId="07CF6999">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开户银行：浙商银行股份有限公司济南分行</w:t>
            </w:r>
          </w:p>
          <w:p w14:paraId="2B9D9317">
            <w:pPr>
              <w:tabs>
                <w:tab w:val="left" w:pos="932"/>
              </w:tabs>
              <w:ind w:firstLine="482" w:firstLineChars="200"/>
              <w:rPr>
                <w:rFonts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银行帐号：4510000010120100527995</w:t>
            </w:r>
            <w:bookmarkStart w:id="1440" w:name="_GoBack"/>
            <w:bookmarkEnd w:id="1440"/>
          </w:p>
          <w:p w14:paraId="65CEB0CD">
            <w:pPr>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投标保证金应从投标人的基本账户转出至上述账户并到账，否则视为无效投标。</w:t>
            </w:r>
          </w:p>
          <w:p w14:paraId="3849D1CF">
            <w:pPr>
              <w:ind w:firstLine="480" w:firstLineChars="200"/>
              <w:rPr>
                <w:rFonts w:ascii="宋体" w:hAnsi="宋体" w:eastAsia="宋体" w:cs="宋体"/>
                <w:sz w:val="24"/>
                <w:szCs w:val="24"/>
                <w:highlight w:val="cyan"/>
              </w:rPr>
            </w:pPr>
            <w:r>
              <w:rPr>
                <w:rFonts w:hint="eastAsia" w:eastAsia="宋体" w:cs="Times New Roman"/>
                <w:sz w:val="24"/>
                <w:szCs w:val="28"/>
                <w:highlight w:val="yellow"/>
              </w:rPr>
              <w:t>转账附言：公司名称+项目名称+投标保证金。</w:t>
            </w:r>
          </w:p>
        </w:tc>
      </w:tr>
      <w:tr w14:paraId="2A00D92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7D8D18ED">
            <w:pPr>
              <w:jc w:val="center"/>
              <w:rPr>
                <w:rFonts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11495D63">
            <w:pPr>
              <w:pStyle w:val="35"/>
              <w:spacing w:after="0" w:line="240" w:lineRule="auto"/>
              <w:ind w:left="0" w:leftChars="0" w:firstLine="482"/>
              <w:rPr>
                <w:rFonts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202</w:t>
            </w:r>
            <w:r>
              <w:rPr>
                <w:rFonts w:hint="eastAsia" w:ascii="宋体" w:hAnsi="宋体" w:cs="宋体"/>
                <w:sz w:val="24"/>
                <w:szCs w:val="24"/>
                <w:highlight w:val="yellow"/>
                <w:lang w:val="en-US" w:eastAsia="zh-CN"/>
              </w:rPr>
              <w:t>5</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11月20</w:t>
            </w:r>
            <w:r>
              <w:rPr>
                <w:rFonts w:hint="eastAsia" w:ascii="宋体" w:hAnsi="宋体" w:cs="宋体"/>
                <w:sz w:val="24"/>
                <w:szCs w:val="24"/>
                <w:highlight w:val="yellow"/>
              </w:rPr>
              <w:t>日</w:t>
            </w:r>
            <w:r>
              <w:rPr>
                <w:rFonts w:hint="eastAsia" w:ascii="宋体" w:hAnsi="宋体" w:cs="宋体"/>
                <w:bCs/>
                <w:sz w:val="24"/>
                <w:szCs w:val="24"/>
                <w:highlight w:val="yellow"/>
              </w:rPr>
              <w:t>17:00:00</w:t>
            </w:r>
            <w:r>
              <w:rPr>
                <w:rFonts w:hint="eastAsia" w:ascii="宋体" w:hAnsi="宋体" w:cs="宋体"/>
                <w:sz w:val="24"/>
                <w:szCs w:val="24"/>
                <w:highlight w:val="yellow"/>
              </w:rPr>
              <w:t>前</w:t>
            </w:r>
          </w:p>
          <w:p w14:paraId="47ED67DE">
            <w:pPr>
              <w:pStyle w:val="35"/>
              <w:spacing w:after="0" w:line="240" w:lineRule="auto"/>
              <w:ind w:left="0" w:leftChars="0" w:firstLine="480"/>
              <w:rPr>
                <w:rFonts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14:paraId="0A4256E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2FBD9889">
            <w:pPr>
              <w:jc w:val="center"/>
              <w:rPr>
                <w:rFonts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14:paraId="0DB0B266">
            <w:pPr>
              <w:pStyle w:val="35"/>
              <w:spacing w:after="0" w:line="240" w:lineRule="auto"/>
              <w:ind w:left="0" w:leftChars="0" w:firstLine="480"/>
              <w:rPr>
                <w:rFonts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对于没有中标的投标人，投标保证金将于招标人内部完成中标人评审并确认最终中标人后在30工作日内予以原路返还（无息）；对于中标方，投标保证金将在签订合同后30个工作日内原路返还（无息）。</w:t>
            </w:r>
          </w:p>
        </w:tc>
      </w:tr>
      <w:tr w14:paraId="1F8B049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356F8EA">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14:paraId="273C1C5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4640C79F">
            <w:pPr>
              <w:jc w:val="center"/>
              <w:rPr>
                <w:rFonts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632C51E3">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开标时间：</w:t>
            </w:r>
            <w:r>
              <w:rPr>
                <w:rFonts w:hint="eastAsia" w:ascii="宋体" w:hAnsi="宋体" w:cs="宋体"/>
                <w:sz w:val="24"/>
                <w:szCs w:val="24"/>
                <w:highlight w:val="yellow"/>
              </w:rPr>
              <w:t>202</w:t>
            </w:r>
            <w:r>
              <w:rPr>
                <w:rFonts w:hint="eastAsia" w:ascii="宋体" w:hAnsi="宋体" w:cs="宋体"/>
                <w:sz w:val="24"/>
                <w:szCs w:val="24"/>
                <w:highlight w:val="yellow"/>
                <w:lang w:val="en-US" w:eastAsia="zh-CN"/>
              </w:rPr>
              <w:t>5</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11</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21</w:t>
            </w:r>
            <w:r>
              <w:rPr>
                <w:rFonts w:hint="eastAsia" w:ascii="宋体" w:hAnsi="宋体" w:cs="宋体"/>
                <w:sz w:val="24"/>
                <w:szCs w:val="24"/>
                <w:highlight w:val="yellow"/>
              </w:rPr>
              <w:t>日9:</w:t>
            </w:r>
            <w:r>
              <w:rPr>
                <w:rFonts w:ascii="宋体" w:hAnsi="宋体" w:cs="宋体"/>
                <w:sz w:val="24"/>
                <w:szCs w:val="24"/>
                <w:highlight w:val="yellow"/>
              </w:rPr>
              <w:t>0</w:t>
            </w:r>
            <w:r>
              <w:rPr>
                <w:rFonts w:hint="eastAsia" w:ascii="宋体" w:hAnsi="宋体" w:cs="宋体"/>
                <w:sz w:val="24"/>
                <w:szCs w:val="24"/>
                <w:highlight w:val="yellow"/>
              </w:rPr>
              <w:t>0:00</w:t>
            </w:r>
            <w:r>
              <w:rPr>
                <w:rFonts w:hint="eastAsia" w:ascii="宋体" w:hAnsi="宋体" w:eastAsia="宋体" w:cs="宋体"/>
                <w:kern w:val="0"/>
                <w:sz w:val="24"/>
                <w:szCs w:val="24"/>
                <w:highlight w:val="yellow"/>
              </w:rPr>
              <w:t>。</w:t>
            </w:r>
            <w:r>
              <w:rPr>
                <w:rFonts w:hint="eastAsia" w:ascii="宋体" w:hAnsi="宋体" w:eastAsia="宋体" w:cs="宋体"/>
                <w:kern w:val="0"/>
                <w:sz w:val="24"/>
                <w:szCs w:val="24"/>
                <w:highlight w:val="yellow"/>
                <w:lang w:eastAsia="zh-CN"/>
              </w:rPr>
              <w:t>（</w:t>
            </w:r>
            <w:r>
              <w:rPr>
                <w:rFonts w:hint="eastAsia" w:ascii="宋体" w:hAnsi="宋体" w:eastAsia="宋体" w:cs="宋体"/>
                <w:kern w:val="0"/>
                <w:sz w:val="24"/>
                <w:szCs w:val="24"/>
                <w:highlight w:val="yellow"/>
                <w:lang w:val="en-US" w:eastAsia="zh-CN"/>
              </w:rPr>
              <w:t>若有变动，另行通知</w:t>
            </w:r>
            <w:r>
              <w:rPr>
                <w:rFonts w:hint="eastAsia" w:ascii="宋体" w:hAnsi="宋体" w:eastAsia="宋体" w:cs="宋体"/>
                <w:kern w:val="0"/>
                <w:sz w:val="24"/>
                <w:szCs w:val="24"/>
                <w:highlight w:val="yellow"/>
                <w:lang w:eastAsia="zh-CN"/>
              </w:rPr>
              <w:t>）</w:t>
            </w:r>
          </w:p>
          <w:p w14:paraId="7D6C5C0B">
            <w:pPr>
              <w:ind w:firstLine="482" w:firstLineChars="200"/>
              <w:rPr>
                <w:rFonts w:hint="default" w:ascii="宋体" w:hAnsi="宋体" w:eastAsia="宋体" w:cs="宋体"/>
                <w:sz w:val="24"/>
                <w:szCs w:val="24"/>
                <w:lang w:val="en-US" w:eastAsia="zh-CN"/>
              </w:rPr>
            </w:pPr>
            <w:r>
              <w:rPr>
                <w:rFonts w:hint="eastAsia" w:ascii="宋体" w:hAnsi="宋体" w:eastAsia="宋体" w:cs="宋体"/>
                <w:b/>
                <w:bCs/>
                <w:sz w:val="24"/>
                <w:szCs w:val="24"/>
              </w:rPr>
              <w:t>开标地点：</w:t>
            </w:r>
            <w:r>
              <w:rPr>
                <w:rFonts w:hint="eastAsia" w:ascii="宋体" w:hAnsi="宋体" w:eastAsia="宋体" w:cs="宋体"/>
                <w:b/>
                <w:bCs/>
                <w:sz w:val="24"/>
                <w:szCs w:val="24"/>
                <w:lang w:val="en-US" w:eastAsia="zh-CN"/>
              </w:rPr>
              <w:t>报名成功后，通知线上会议号</w:t>
            </w:r>
          </w:p>
        </w:tc>
      </w:tr>
      <w:tr w14:paraId="2622369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4998387B">
            <w:pPr>
              <w:jc w:val="center"/>
              <w:rPr>
                <w:rFonts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14:paraId="2E0B9E2E">
            <w:pPr>
              <w:pStyle w:val="12"/>
              <w:ind w:firstLine="482" w:firstLineChars="200"/>
              <w:rPr>
                <w:rFonts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资质标审核→唱标→技术标评审→商务标评审。</w:t>
            </w:r>
            <w:r>
              <w:rPr>
                <w:rFonts w:hint="eastAsia" w:ascii="宋体" w:hAnsi="宋体" w:eastAsia="宋体" w:cs="宋体"/>
                <w:sz w:val="24"/>
                <w:szCs w:val="24"/>
              </w:rPr>
              <w:t>具体</w:t>
            </w:r>
            <w:r>
              <w:rPr>
                <w:rFonts w:hint="eastAsia" w:ascii="宋体" w:hAnsi="宋体" w:eastAsia="宋体" w:cs="宋体"/>
                <w:sz w:val="24"/>
                <w:szCs w:val="24"/>
                <w:highlight w:val="none"/>
              </w:rPr>
              <w:t>详见“第</w:t>
            </w: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rPr>
              <w:t>部分投标须知第六条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评</w:t>
            </w:r>
            <w:r>
              <w:rPr>
                <w:rFonts w:hint="eastAsia" w:ascii="宋体" w:hAnsi="宋体" w:eastAsia="宋体" w:cs="宋体"/>
                <w:sz w:val="24"/>
                <w:szCs w:val="24"/>
                <w:highlight w:val="none"/>
                <w:lang w:val="en-US" w:eastAsia="zh-CN"/>
              </w:rPr>
              <w:t>标</w:t>
            </w:r>
            <w:r>
              <w:rPr>
                <w:rFonts w:hint="eastAsia" w:ascii="宋体" w:hAnsi="宋体" w:eastAsia="宋体" w:cs="宋体"/>
                <w:sz w:val="24"/>
                <w:szCs w:val="24"/>
                <w:highlight w:val="none"/>
              </w:rPr>
              <w:t>原则”</w:t>
            </w:r>
            <w:r>
              <w:rPr>
                <w:rFonts w:hint="eastAsia" w:ascii="宋体" w:hAnsi="宋体" w:eastAsia="宋体" w:cs="宋体"/>
                <w:sz w:val="24"/>
                <w:szCs w:val="24"/>
              </w:rPr>
              <w:t>。</w:t>
            </w:r>
          </w:p>
        </w:tc>
      </w:tr>
      <w:tr w14:paraId="5D0FCE6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B048E4A">
            <w:pPr>
              <w:jc w:val="center"/>
              <w:rPr>
                <w:rFonts w:ascii="宋体" w:hAnsi="宋体" w:eastAsia="宋体" w:cs="宋体"/>
                <w:sz w:val="24"/>
                <w:szCs w:val="24"/>
              </w:rPr>
            </w:pPr>
            <w:r>
              <w:rPr>
                <w:rFonts w:hint="eastAsia" w:ascii="宋体" w:hAnsi="宋体" w:eastAsia="宋体" w:cs="宋体"/>
                <w:b/>
                <w:bCs/>
                <w:sz w:val="24"/>
                <w:szCs w:val="24"/>
              </w:rPr>
              <w:t>6.合同签订</w:t>
            </w:r>
          </w:p>
        </w:tc>
      </w:tr>
      <w:tr w14:paraId="15684CC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6388F3D">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30084260">
            <w:pPr>
              <w:ind w:firstLine="480" w:firstLineChars="200"/>
              <w:rPr>
                <w:rFonts w:ascii="宋体" w:hAnsi="宋体" w:eastAsia="宋体" w:cs="宋体"/>
                <w:sz w:val="24"/>
                <w:szCs w:val="24"/>
              </w:rPr>
            </w:pPr>
            <w:r>
              <w:rPr>
                <w:rFonts w:hint="eastAsia" w:ascii="宋体" w:hAnsi="宋体" w:eastAsia="宋体" w:cs="宋体"/>
                <w:sz w:val="24"/>
                <w:szCs w:val="24"/>
              </w:rPr>
              <w:t>见第二部分投标须知第七条。</w:t>
            </w:r>
          </w:p>
        </w:tc>
      </w:tr>
      <w:tr w14:paraId="75AF940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66514C2">
            <w:pPr>
              <w:jc w:val="center"/>
              <w:rPr>
                <w:rFonts w:ascii="宋体" w:hAnsi="宋体" w:eastAsia="宋体" w:cs="宋体"/>
                <w:b/>
                <w:bCs/>
                <w:sz w:val="24"/>
                <w:szCs w:val="24"/>
              </w:rPr>
            </w:pPr>
            <w:r>
              <w:rPr>
                <w:rFonts w:hint="eastAsia" w:ascii="宋体" w:hAnsi="宋体" w:eastAsia="宋体" w:cs="宋体"/>
                <w:b/>
                <w:bCs/>
                <w:sz w:val="24"/>
                <w:szCs w:val="24"/>
              </w:rPr>
              <w:t>7.交货及付款方式</w:t>
            </w:r>
          </w:p>
        </w:tc>
      </w:tr>
      <w:tr w14:paraId="7CED0D7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B5113DF">
            <w:pPr>
              <w:jc w:val="center"/>
              <w:rPr>
                <w:rFonts w:ascii="宋体" w:hAnsi="宋体" w:eastAsia="宋体" w:cs="宋体"/>
                <w:kern w:val="2"/>
                <w:sz w:val="24"/>
                <w:szCs w:val="24"/>
                <w:lang w:val="en-US" w:eastAsia="zh-CN" w:bidi="ar-SA"/>
              </w:rPr>
            </w:pPr>
            <w:bookmarkStart w:id="5" w:name="OLE_LINK3" w:colFirst="0" w:colLast="0"/>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1CA3729E">
            <w:pPr>
              <w:pStyle w:val="16"/>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685AF9F3">
            <w:pPr>
              <w:pStyle w:val="16"/>
              <w:ind w:firstLine="482" w:firstLineChars="200"/>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hAnsi="宋体" w:eastAsia="宋体" w:cs="宋体"/>
                <w:color w:val="000000"/>
                <w:sz w:val="24"/>
                <w:szCs w:val="24"/>
              </w:rPr>
              <w:t>招标方指定地点。</w:t>
            </w:r>
          </w:p>
        </w:tc>
      </w:tr>
      <w:bookmarkEnd w:id="5"/>
      <w:tr w14:paraId="0C23A1E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4C3D60E5">
            <w:pPr>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7.</w:t>
            </w:r>
            <w:r>
              <w:rPr>
                <w:rFonts w:hint="eastAsia" w:ascii="宋体" w:hAnsi="宋体" w:eastAsia="宋体" w:cs="宋体"/>
                <w:kern w:val="0"/>
                <w:sz w:val="24"/>
                <w:szCs w:val="24"/>
                <w:lang w:val="en-US" w:eastAsia="zh-CN"/>
              </w:rPr>
              <w:t>2</w:t>
            </w:r>
          </w:p>
        </w:tc>
        <w:tc>
          <w:tcPr>
            <w:tcW w:w="8363" w:type="dxa"/>
            <w:tcBorders>
              <w:top w:val="single" w:color="auto" w:sz="2" w:space="0"/>
              <w:left w:val="single" w:color="auto" w:sz="4" w:space="0"/>
              <w:bottom w:val="single" w:color="auto" w:sz="2" w:space="0"/>
              <w:right w:val="single" w:color="auto" w:sz="2" w:space="0"/>
            </w:tcBorders>
            <w:vAlign w:val="center"/>
          </w:tcPr>
          <w:p w14:paraId="7F720F5C">
            <w:pPr>
              <w:pStyle w:val="35"/>
              <w:spacing w:after="0" w:line="240" w:lineRule="auto"/>
              <w:ind w:firstLine="482"/>
              <w:rPr>
                <w:rFonts w:ascii="宋体" w:hAnsi="宋体" w:cs="宋体"/>
                <w:sz w:val="24"/>
                <w:szCs w:val="24"/>
              </w:rPr>
            </w:pPr>
            <w:r>
              <w:rPr>
                <w:rFonts w:hint="eastAsia" w:ascii="宋体" w:hAnsi="宋体" w:cs="宋体"/>
                <w:b/>
                <w:bCs/>
                <w:sz w:val="24"/>
                <w:szCs w:val="24"/>
                <w:u w:val="single"/>
              </w:rPr>
              <w:t>付款方式：半年期商业汇票（包括银行承兑汇票和商业承兑汇票）</w:t>
            </w:r>
          </w:p>
          <w:p w14:paraId="58B96975">
            <w:pPr>
              <w:ind w:firstLine="480" w:firstLineChars="200"/>
              <w:rPr>
                <w:rFonts w:ascii="宋体" w:hAnsi="宋体" w:eastAsia="宋体" w:cs="宋体"/>
                <w:sz w:val="24"/>
                <w:szCs w:val="24"/>
              </w:rPr>
            </w:pPr>
            <w:r>
              <w:rPr>
                <w:rFonts w:ascii="宋体" w:hAnsi="宋体" w:eastAsia="宋体" w:cs="宋体"/>
                <w:sz w:val="24"/>
                <w:szCs w:val="24"/>
              </w:rPr>
              <w:t>1.合同生效设备全部到齐无质量问题通过买方初步验收并到货后，卖方开具金额为该合同设备价格30%的增值税专用发票带30%的收据（含复印件二份），经买方依照财务制度审核无误后支付合同价款的30%。</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2.设备全部到齐，经现场安装、调试、验收合格交付使用后，卖方提交金额为合同价款60%的收据并附带下列单据，经买方依照财务制度审核无误后支付合同价款的60%。</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a.金额为该合同设备价格70%的增值税专用发票（含复印件二份），具体开票信息详见发票信息表，根据表中所列分别开具增值税发票。</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b.该套设备最终验收报告的原件及其复印件两份。</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3.合同总价款的10%作为本合同约定设备的质量保证金，质量保证金在质量保证期内不计利息。待所有合同设备质量保证期满，卖方向买方提交金额为合同价款10%的收据（正本一份，复印件二份）及设备使用单位的使用情况说明，买方依照财务制度审核无误后支付。如有质量问题，质量保证金予以扣除。买方将质量保证金返还给卖方，并不代表对卖方的质量保证期内责任的免除，卖方应在质量保证期内履行其应尽的义务。</w:t>
            </w:r>
          </w:p>
          <w:p w14:paraId="094D3648">
            <w:pPr>
              <w:ind w:firstLine="480" w:firstLineChars="200"/>
              <w:rPr>
                <w:rFonts w:ascii="宋体" w:hAnsi="宋体" w:eastAsia="宋体" w:cs="宋体"/>
                <w:sz w:val="24"/>
                <w:szCs w:val="24"/>
              </w:rPr>
            </w:pPr>
          </w:p>
        </w:tc>
      </w:tr>
      <w:tr w14:paraId="0862D02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762DC179">
            <w:pPr>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7.</w:t>
            </w:r>
            <w:r>
              <w:rPr>
                <w:rFonts w:hint="eastAsia" w:ascii="宋体" w:hAnsi="宋体" w:eastAsia="宋体" w:cs="宋体"/>
                <w:kern w:val="0"/>
                <w:sz w:val="24"/>
                <w:szCs w:val="24"/>
                <w:lang w:val="en-US" w:eastAsia="zh-CN"/>
              </w:rPr>
              <w:t>3</w:t>
            </w:r>
          </w:p>
        </w:tc>
        <w:tc>
          <w:tcPr>
            <w:tcW w:w="8363" w:type="dxa"/>
            <w:tcBorders>
              <w:top w:val="single" w:color="auto" w:sz="2" w:space="0"/>
              <w:left w:val="single" w:color="auto" w:sz="4" w:space="0"/>
              <w:bottom w:val="single" w:color="auto" w:sz="2" w:space="0"/>
              <w:right w:val="single" w:color="auto" w:sz="2" w:space="0"/>
            </w:tcBorders>
            <w:vAlign w:val="center"/>
          </w:tcPr>
          <w:p w14:paraId="459C8CDD">
            <w:pPr>
              <w:ind w:firstLine="482" w:firstLineChars="200"/>
              <w:rPr>
                <w:rFonts w:ascii="宋体" w:hAnsi="宋体" w:eastAsia="宋体" w:cs="宋体"/>
                <w:b/>
                <w:color w:val="000000"/>
                <w:sz w:val="24"/>
                <w:szCs w:val="24"/>
                <w:highlight w:val="cyan"/>
              </w:rPr>
            </w:pPr>
            <w:r>
              <w:rPr>
                <w:rFonts w:hint="eastAsia" w:ascii="宋体" w:hAnsi="宋体" w:eastAsia="宋体" w:cs="宋体"/>
                <w:b/>
                <w:color w:val="000000"/>
                <w:sz w:val="24"/>
                <w:szCs w:val="24"/>
                <w:highlight w:val="cyan"/>
              </w:rPr>
              <w:t>增值税专用发票开票信息：</w:t>
            </w:r>
          </w:p>
          <w:p w14:paraId="66F63867">
            <w:pPr>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公司名称：重汽（济南）车桥有限公司</w:t>
            </w:r>
          </w:p>
          <w:p w14:paraId="74B2972A">
            <w:pPr>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纳税识别号：</w:t>
            </w:r>
            <w:r>
              <w:rPr>
                <w:rFonts w:ascii="宋体" w:hAnsi="宋体" w:eastAsia="宋体" w:cs="宋体"/>
                <w:color w:val="000000"/>
                <w:sz w:val="24"/>
                <w:szCs w:val="24"/>
              </w:rPr>
              <w:t>91370100780623443J</w:t>
            </w:r>
          </w:p>
          <w:p w14:paraId="782549CC">
            <w:pPr>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地址</w:t>
            </w:r>
            <w:r>
              <w:rPr>
                <w:rFonts w:ascii="宋体" w:hAnsi="宋体" w:eastAsia="宋体" w:cs="宋体"/>
                <w:color w:val="000000"/>
                <w:sz w:val="24"/>
                <w:szCs w:val="24"/>
              </w:rPr>
              <w:t>: 济南市高新区孙村镇西顿邱</w:t>
            </w:r>
          </w:p>
          <w:p w14:paraId="4E10CC37">
            <w:pPr>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开户行</w:t>
            </w:r>
            <w:r>
              <w:rPr>
                <w:rFonts w:ascii="宋体" w:hAnsi="宋体" w:eastAsia="宋体" w:cs="宋体"/>
                <w:color w:val="000000"/>
                <w:sz w:val="24"/>
                <w:szCs w:val="24"/>
              </w:rPr>
              <w:t>: 中信济分舜耕支行</w:t>
            </w:r>
          </w:p>
          <w:p w14:paraId="66AAB4EF">
            <w:pPr>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帐号：</w:t>
            </w:r>
            <w:r>
              <w:rPr>
                <w:rFonts w:ascii="宋体" w:hAnsi="宋体" w:eastAsia="宋体" w:cs="宋体"/>
                <w:color w:val="000000"/>
                <w:sz w:val="24"/>
                <w:szCs w:val="24"/>
              </w:rPr>
              <w:t xml:space="preserve"> 7372610182600060479</w:t>
            </w:r>
          </w:p>
          <w:p w14:paraId="4115D97F">
            <w:pPr>
              <w:ind w:firstLine="480" w:firstLineChars="200"/>
              <w:rPr>
                <w:rFonts w:ascii="宋体" w:hAnsi="宋体" w:cs="宋体"/>
                <w:bCs/>
                <w:sz w:val="24"/>
                <w:szCs w:val="24"/>
              </w:rPr>
            </w:pPr>
            <w:r>
              <w:rPr>
                <w:rFonts w:hint="eastAsia" w:ascii="宋体" w:hAnsi="宋体" w:eastAsia="宋体" w:cs="宋体"/>
                <w:color w:val="000000"/>
                <w:sz w:val="24"/>
                <w:szCs w:val="24"/>
              </w:rPr>
              <w:t>行号：</w:t>
            </w:r>
            <w:r>
              <w:rPr>
                <w:rFonts w:ascii="宋体" w:hAnsi="宋体" w:eastAsia="宋体" w:cs="宋体"/>
                <w:color w:val="000000"/>
                <w:sz w:val="24"/>
                <w:szCs w:val="24"/>
              </w:rPr>
              <w:t>302451037264</w:t>
            </w:r>
          </w:p>
        </w:tc>
      </w:tr>
      <w:tr w14:paraId="354DE3A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BFCDDDF">
            <w:pPr>
              <w:pStyle w:val="12"/>
              <w:jc w:val="center"/>
              <w:rPr>
                <w:rFonts w:ascii="宋体" w:hAnsi="宋体" w:eastAsia="宋体" w:cs="宋体"/>
                <w:sz w:val="24"/>
                <w:szCs w:val="24"/>
              </w:rPr>
            </w:pPr>
            <w:r>
              <w:rPr>
                <w:rFonts w:hint="eastAsia" w:ascii="宋体" w:hAnsi="宋体" w:eastAsia="宋体" w:cs="宋体"/>
                <w:b/>
                <w:bCs/>
                <w:sz w:val="24"/>
                <w:szCs w:val="24"/>
              </w:rPr>
              <w:t>8.其它</w:t>
            </w:r>
          </w:p>
        </w:tc>
      </w:tr>
      <w:tr w14:paraId="1161C3C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53198181">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7B8BAE23">
            <w:pPr>
              <w:pStyle w:val="12"/>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4E2F393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445C2423">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46797D1D">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14:paraId="0335676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2042776A">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614CEF32">
            <w:pPr>
              <w:pStyle w:val="12"/>
              <w:ind w:firstLine="480" w:firstLineChars="200"/>
              <w:rPr>
                <w:rFonts w:ascii="宋体" w:hAnsi="宋体" w:eastAsia="宋体" w:cs="宋体"/>
                <w:sz w:val="24"/>
                <w:szCs w:val="24"/>
              </w:rPr>
            </w:pPr>
            <w:r>
              <w:rPr>
                <w:rFonts w:hint="eastAsia" w:ascii="宋体" w:hAnsi="宋体" w:eastAsia="宋体" w:cs="宋体"/>
                <w:sz w:val="24"/>
                <w:szCs w:val="24"/>
              </w:rPr>
              <w:t>中标方应在合同签订后规定时间内需根据设计</w:t>
            </w:r>
            <w:r>
              <w:rPr>
                <w:rStyle w:val="42"/>
                <w:rFonts w:hint="eastAsia" w:ascii="宋体" w:hAnsi="宋体" w:eastAsia="宋体" w:cs="宋体"/>
                <w:sz w:val="24"/>
                <w:szCs w:val="24"/>
              </w:rPr>
              <w:t>提资</w:t>
            </w:r>
            <w:r>
              <w:rPr>
                <w:rFonts w:hint="eastAsia" w:ascii="宋体" w:hAnsi="宋体" w:eastAsia="宋体" w:cs="宋体"/>
                <w:sz w:val="24"/>
                <w:szCs w:val="24"/>
              </w:rPr>
              <w:t>要求提供详细的</w:t>
            </w:r>
            <w:r>
              <w:rPr>
                <w:rStyle w:val="42"/>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2"/>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2"/>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14:paraId="578555FE">
      <w:pPr>
        <w:pStyle w:val="16"/>
        <w:numPr>
          <w:ilvl w:val="0"/>
          <w:numId w:val="1"/>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pgBorders>
            <w:top w:val="none" w:sz="0" w:space="0"/>
            <w:left w:val="none" w:sz="0" w:space="0"/>
            <w:bottom w:val="none" w:sz="0" w:space="0"/>
            <w:right w:val="none" w:sz="0" w:space="0"/>
          </w:pgBorders>
          <w:cols w:space="720" w:num="1"/>
          <w:docGrid w:linePitch="290" w:charSpace="-3931"/>
        </w:sectPr>
      </w:pPr>
    </w:p>
    <w:p w14:paraId="14819FC2">
      <w:pPr>
        <w:pStyle w:val="16"/>
        <w:jc w:val="center"/>
        <w:outlineLvl w:val="0"/>
        <w:rPr>
          <w:rFonts w:ascii="Calibri" w:hAnsi="Calibri" w:eastAsia="宋体" w:cs="Times New Roman"/>
          <w:b/>
          <w:bCs/>
          <w:kern w:val="44"/>
          <w:sz w:val="36"/>
          <w:szCs w:val="44"/>
        </w:rPr>
      </w:pPr>
      <w:bookmarkStart w:id="6" w:name="_Toc15609"/>
      <w:r>
        <w:rPr>
          <w:rFonts w:hint="eastAsia" w:ascii="Calibri" w:hAnsi="Calibri" w:eastAsia="宋体" w:cs="Times New Roman"/>
          <w:b/>
          <w:bCs/>
          <w:kern w:val="44"/>
          <w:sz w:val="36"/>
          <w:szCs w:val="44"/>
        </w:rPr>
        <w:t>第二部分 投标须知</w:t>
      </w:r>
      <w:bookmarkEnd w:id="6"/>
    </w:p>
    <w:p w14:paraId="76B4A95B">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一、项目名称</w:t>
      </w:r>
    </w:p>
    <w:p w14:paraId="168FC3B3">
      <w:pPr>
        <w:spacing w:line="360" w:lineRule="auto"/>
        <w:ind w:left="1679" w:leftChars="228" w:hanging="1200" w:hangingChars="500"/>
        <w:rPr>
          <w:rFonts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7" w:name="OLE_LINK1"/>
      <w:r>
        <w:rPr>
          <w:rFonts w:hint="eastAsia" w:ascii="宋体" w:hAnsi="宋体" w:eastAsia="宋体" w:cs="宋体"/>
          <w:color w:val="000000"/>
          <w:sz w:val="24"/>
          <w:szCs w:val="24"/>
        </w:rPr>
        <w:t>见《投标须知前附表》。</w:t>
      </w:r>
    </w:p>
    <w:bookmarkEnd w:id="7"/>
    <w:p w14:paraId="26FEB660">
      <w:pPr>
        <w:keepNext/>
        <w:keepLines/>
        <w:numPr>
          <w:ilvl w:val="0"/>
          <w:numId w:val="2"/>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招标内容及形式</w:t>
      </w:r>
    </w:p>
    <w:p w14:paraId="542586A0">
      <w:pPr>
        <w:pStyle w:val="16"/>
        <w:spacing w:line="360" w:lineRule="auto"/>
        <w:ind w:firstLine="480" w:firstLineChars="200"/>
        <w:rPr>
          <w:rFonts w:hAnsi="宋体" w:eastAsia="宋体" w:cs="宋体"/>
          <w:sz w:val="24"/>
          <w:szCs w:val="24"/>
        </w:rPr>
      </w:pPr>
      <w:r>
        <w:rPr>
          <w:rFonts w:hint="eastAsia" w:hAnsi="宋体" w:eastAsia="宋体" w:cs="宋体"/>
          <w:color w:val="000000"/>
          <w:sz w:val="24"/>
          <w:szCs w:val="24"/>
        </w:rPr>
        <w:t>见《投标须知前附表》。</w:t>
      </w:r>
    </w:p>
    <w:p w14:paraId="1A651E99">
      <w:pPr>
        <w:spacing w:line="360" w:lineRule="auto"/>
        <w:ind w:firstLine="482" w:firstLineChars="200"/>
        <w:rPr>
          <w:rFonts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14:paraId="31554992">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14:paraId="6BF9C681">
      <w:pPr>
        <w:keepNext/>
        <w:keepLines/>
        <w:numPr>
          <w:ilvl w:val="0"/>
          <w:numId w:val="2"/>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14:paraId="66CABF52">
      <w:pPr>
        <w:pStyle w:val="16"/>
        <w:spacing w:line="360" w:lineRule="auto"/>
        <w:ind w:firstLine="480" w:firstLineChars="200"/>
        <w:rPr>
          <w:rFonts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14:paraId="1E1C1237">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四、投标说明</w:t>
      </w:r>
    </w:p>
    <w:p w14:paraId="7898C5A1">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5192DF7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投标人根据招标人在中国重汽官网等公开媒体上发布的招标信息，在“中国重汽e采通”平台报名。按照中国重汽e采通“SRM非生产供应商注册手册（附件15）”进行注册，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“SRM系统供应商用户手册（附件16）”登录系统，</w:t>
      </w:r>
      <w:r>
        <w:rPr>
          <w:rFonts w:hint="eastAsia" w:ascii="宋体" w:hAnsi="宋体" w:eastAsia="宋体" w:cs="宋体"/>
          <w:color w:val="000000"/>
          <w:sz w:val="24"/>
          <w:szCs w:val="24"/>
        </w:rPr>
        <w:t>进入“供应商应标”，选择对应的项目，点击“应标”后按照招标文件第三部分投标文件组成资格证明文件中的1.1-1.13准备资料并上传，资质审查通过即为报名成功，公示期间请尽快报名。</w:t>
      </w:r>
    </w:p>
    <w:p w14:paraId="2E9BE70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2841E85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14:paraId="63401B54">
      <w:pPr>
        <w:keepNext/>
        <w:keepLines/>
        <w:numPr>
          <w:ilvl w:val="0"/>
          <w:numId w:val="3"/>
        </w:num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46447553">
      <w:pPr>
        <w:pStyle w:val="16"/>
        <w:spacing w:line="360" w:lineRule="auto"/>
        <w:ind w:firstLine="480"/>
        <w:rPr>
          <w:rFonts w:hAnsi="宋体" w:eastAsia="宋体" w:cs="宋体"/>
          <w:b/>
          <w:color w:val="000000"/>
          <w:sz w:val="24"/>
          <w:szCs w:val="24"/>
        </w:rPr>
      </w:pPr>
      <w:r>
        <w:rPr>
          <w:rFonts w:hint="eastAsia" w:hAnsi="宋体" w:eastAsia="宋体" w:cs="宋体"/>
          <w:b/>
          <w:bCs/>
          <w:color w:val="000000"/>
          <w:sz w:val="24"/>
          <w:szCs w:val="24"/>
        </w:rPr>
        <w:t>对于中国境内投标人，投标条件详见招标文件“第一部分投标须知前附表1.6”。</w:t>
      </w:r>
    </w:p>
    <w:p w14:paraId="1BF916F8">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17AD83E7">
      <w:pPr>
        <w:pStyle w:val="16"/>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color w:val="000000"/>
          <w:sz w:val="24"/>
          <w:szCs w:val="24"/>
          <w:highlight w:val="yellow"/>
        </w:rPr>
        <w:t>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14:paraId="5229606D">
      <w:pPr>
        <w:spacing w:line="360" w:lineRule="auto"/>
        <w:ind w:firstLine="235" w:firstLineChars="98"/>
        <w:rPr>
          <w:rFonts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67074C5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rPr>
        <w:t>【人民币（应同时报含税价和不含税价并写明税率）】</w:t>
      </w:r>
      <w:r>
        <w:rPr>
          <w:rFonts w:hint="eastAsia" w:ascii="宋体" w:hAnsi="宋体" w:eastAsia="宋体" w:cs="宋体"/>
          <w:b/>
          <w:bCs/>
          <w:color w:val="000000"/>
          <w:sz w:val="24"/>
          <w:szCs w:val="24"/>
          <w:highlight w:val="yellow"/>
        </w:rPr>
        <w:t>。</w:t>
      </w:r>
    </w:p>
    <w:p w14:paraId="19CD8503">
      <w:pPr>
        <w:keepNext/>
        <w:keepLines/>
        <w:spacing w:line="360" w:lineRule="auto"/>
        <w:ind w:firstLine="482" w:firstLineChars="200"/>
        <w:outlineLvl w:val="2"/>
        <w:rPr>
          <w:rFonts w:ascii="宋体" w:hAnsi="宋体" w:eastAsia="宋体" w:cs="宋体"/>
          <w:sz w:val="24"/>
          <w:szCs w:val="24"/>
        </w:rPr>
      </w:pPr>
      <w:r>
        <w:rPr>
          <w:rFonts w:hint="eastAsia" w:ascii="宋体" w:hAnsi="宋体" w:eastAsia="宋体" w:cs="宋体"/>
          <w:b/>
          <w:bCs/>
          <w:color w:val="000000"/>
          <w:sz w:val="24"/>
          <w:szCs w:val="24"/>
        </w:rPr>
        <w:t>4.设备要求：</w:t>
      </w:r>
    </w:p>
    <w:p w14:paraId="1FC8387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0A34E34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212A850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7AE6108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52A0139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45A07B7D">
      <w:pPr>
        <w:pStyle w:val="16"/>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41A7B4D6">
      <w:pPr>
        <w:pStyle w:val="16"/>
        <w:spacing w:line="360" w:lineRule="auto"/>
        <w:ind w:firstLine="480" w:firstLineChars="200"/>
        <w:rPr>
          <w:rFonts w:hAnsi="宋体" w:eastAsia="宋体" w:cs="宋体"/>
          <w:color w:val="000000"/>
          <w:sz w:val="24"/>
          <w:szCs w:val="24"/>
          <w:highlight w:val="yellow"/>
        </w:rPr>
      </w:pPr>
      <w:r>
        <w:rPr>
          <w:rFonts w:hint="eastAsia" w:hAnsi="宋体" w:eastAsia="宋体" w:cs="宋体"/>
          <w:color w:val="000000"/>
          <w:sz w:val="24"/>
          <w:szCs w:val="24"/>
        </w:rPr>
        <w:t>4.7</w:t>
      </w:r>
      <w:r>
        <w:rPr>
          <w:rFonts w:hint="eastAsia" w:hAnsi="宋体" w:eastAsia="宋体" w:cs="宋体"/>
          <w:color w:val="000000"/>
          <w:sz w:val="24"/>
          <w:szCs w:val="24"/>
          <w:highlight w:val="yellow"/>
        </w:rPr>
        <w:t>设备设施颜色严格执行我公司企业标准《设备设施颜色标识》（Q/ZZ30070</w:t>
      </w:r>
    </w:p>
    <w:p w14:paraId="6403318F">
      <w:pPr>
        <w:pStyle w:val="16"/>
        <w:spacing w:line="360" w:lineRule="auto"/>
        <w:rPr>
          <w:rFonts w:hAnsi="宋体" w:eastAsia="宋体" w:cs="宋体"/>
          <w:color w:val="000000"/>
          <w:sz w:val="24"/>
          <w:szCs w:val="24"/>
        </w:rPr>
      </w:pPr>
      <w:r>
        <w:rPr>
          <w:rFonts w:hint="eastAsia" w:hAnsi="宋体" w:eastAsia="宋体" w:cs="宋体"/>
          <w:color w:val="000000"/>
          <w:sz w:val="24"/>
          <w:szCs w:val="24"/>
          <w:highlight w:val="yellow"/>
        </w:rPr>
        <w:t>—2020）</w:t>
      </w:r>
      <w:r>
        <w:rPr>
          <w:rFonts w:hint="eastAsia" w:hAnsi="宋体" w:eastAsia="宋体" w:cs="宋体"/>
          <w:color w:val="000000"/>
          <w:sz w:val="24"/>
          <w:szCs w:val="24"/>
        </w:rPr>
        <w:t>。</w:t>
      </w:r>
    </w:p>
    <w:p w14:paraId="6FE4FC0D">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2D66506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2F176A68">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6E99B5E3">
      <w:pPr>
        <w:keepNext/>
        <w:keepLines/>
        <w:spacing w:line="360" w:lineRule="auto"/>
        <w:ind w:firstLine="480" w:firstLineChars="200"/>
        <w:rPr>
          <w:rFonts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14:paraId="2B111F51">
      <w:pPr>
        <w:keepNext/>
        <w:keepLines/>
        <w:spacing w:line="360" w:lineRule="auto"/>
        <w:outlineLvl w:val="1"/>
        <w:rPr>
          <w:rFonts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62AAB9A7">
      <w:pPr>
        <w:keepNext/>
        <w:keepLines/>
        <w:spacing w:line="360" w:lineRule="auto"/>
        <w:ind w:firstLine="482" w:firstLineChars="200"/>
        <w:outlineLvl w:val="2"/>
        <w:rPr>
          <w:rFonts w:ascii="宋体" w:hAnsi="宋体" w:eastAsia="宋体" w:cs="宋体"/>
          <w:color w:val="000000"/>
          <w:sz w:val="24"/>
          <w:szCs w:val="24"/>
        </w:rPr>
      </w:pPr>
      <w:r>
        <w:rPr>
          <w:rFonts w:hint="eastAsia" w:ascii="宋体" w:hAnsi="宋体" w:eastAsia="宋体" w:cs="宋体"/>
          <w:b/>
          <w:bCs/>
          <w:color w:val="000000"/>
          <w:sz w:val="24"/>
          <w:szCs w:val="24"/>
        </w:rPr>
        <w:t>1.发标时间</w:t>
      </w:r>
    </w:p>
    <w:p w14:paraId="71C2FA27">
      <w:pPr>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14:paraId="2563B082">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1265DA0D">
      <w:pPr>
        <w:spacing w:line="360" w:lineRule="auto"/>
        <w:ind w:firstLine="480" w:firstLineChars="200"/>
        <w:rPr>
          <w:rFonts w:ascii="宋体" w:hAnsi="宋体" w:eastAsia="宋体" w:cs="宋体"/>
          <w:color w:val="000000"/>
          <w:sz w:val="24"/>
          <w:szCs w:val="24"/>
        </w:rPr>
      </w:pPr>
      <w:r>
        <w:rPr>
          <w:rFonts w:hint="eastAsia" w:ascii="宋体" w:hAnsi="宋体" w:eastAsia="宋体" w:cs="宋体"/>
          <w:sz w:val="24"/>
          <w:szCs w:val="24"/>
        </w:rPr>
        <w:t>中国重汽官网、山东省阳光采购服务平台、中国招标投标公共服务平台等公开媒体</w:t>
      </w:r>
      <w:r>
        <w:rPr>
          <w:rFonts w:hint="eastAsia" w:ascii="宋体" w:hAnsi="宋体" w:eastAsia="宋体" w:cs="宋体"/>
          <w:color w:val="000000"/>
          <w:sz w:val="24"/>
          <w:szCs w:val="24"/>
        </w:rPr>
        <w:t>公布。</w:t>
      </w:r>
    </w:p>
    <w:p w14:paraId="46729DAA">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1D3A3D6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见《投标须知前附表》第二条，逾期不受理。</w:t>
      </w:r>
    </w:p>
    <w:p w14:paraId="15C41FB1">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4.投标报名</w:t>
      </w:r>
    </w:p>
    <w:p w14:paraId="63A4FEA3">
      <w:pPr>
        <w:keepNext/>
        <w:keepLines/>
        <w:spacing w:line="360" w:lineRule="auto"/>
        <w:ind w:firstLine="482"/>
        <w:rPr>
          <w:rFonts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（保证金具体金额及缴纳截止时间见《投标须知前附表》4.2和4.3）。</w:t>
      </w:r>
    </w:p>
    <w:p w14:paraId="342989D3">
      <w:pPr>
        <w:pStyle w:val="113"/>
        <w:ind w:firstLine="480"/>
        <w:rPr>
          <w:rFonts w:eastAsia="宋体" w:cs="宋体"/>
        </w:rPr>
      </w:pPr>
      <w:r>
        <w:rPr>
          <w:rFonts w:hint="eastAsia" w:eastAsia="宋体" w:cs="宋体"/>
        </w:rPr>
        <w:t>4.2招标人银行账户信息如下：见《投标须知前附表》4.2。</w:t>
      </w:r>
    </w:p>
    <w:p w14:paraId="75DBC9D8">
      <w:pPr>
        <w:pStyle w:val="113"/>
        <w:ind w:firstLine="480"/>
        <w:rPr>
          <w:rFonts w:eastAsia="宋体" w:cs="宋体"/>
        </w:rPr>
      </w:pPr>
      <w:r>
        <w:rPr>
          <w:rFonts w:hint="eastAsia" w:eastAsia="宋体" w:cs="宋体"/>
        </w:rPr>
        <w:t>转账附言：公司名称+项目名称+投标保证金；</w:t>
      </w:r>
    </w:p>
    <w:p w14:paraId="7D10166B">
      <w:pPr>
        <w:pStyle w:val="113"/>
        <w:ind w:firstLine="480"/>
        <w:rPr>
          <w:rFonts w:eastAsia="宋体" w:cs="宋体"/>
        </w:rPr>
      </w:pPr>
      <w:r>
        <w:rPr>
          <w:rFonts w:hint="eastAsia" w:eastAsia="宋体" w:cs="宋体"/>
        </w:rPr>
        <w:t>对于没有中标的投标人，投标保证金将于招标人内部完成中标人评审并确认最终中标人后在30工作日内予以原路返还（无息）；对于中标方，投标保证金将在签订合同后30个工作日内原路返还（无息）；</w:t>
      </w:r>
    </w:p>
    <w:p w14:paraId="2283F0A9">
      <w:pPr>
        <w:pStyle w:val="113"/>
        <w:ind w:firstLine="480"/>
        <w:rPr>
          <w:rFonts w:eastAsia="宋体" w:cs="宋体"/>
        </w:rPr>
      </w:pPr>
      <w:r>
        <w:rPr>
          <w:rFonts w:hint="eastAsia" w:eastAsia="宋体" w:cs="宋体"/>
        </w:rPr>
        <w:t>4.3说明</w:t>
      </w:r>
    </w:p>
    <w:p w14:paraId="1D60F1A5">
      <w:pPr>
        <w:pStyle w:val="113"/>
        <w:ind w:firstLine="480"/>
        <w:rPr>
          <w:rFonts w:eastAsia="宋体" w:cs="宋体"/>
        </w:rPr>
      </w:pPr>
      <w:r>
        <w:rPr>
          <w:rFonts w:hint="eastAsia" w:eastAsia="宋体" w:cs="宋体"/>
        </w:rPr>
        <w:t>4.3.1 投标人在向招标人出示《投标保证金缴纳凭证》后方可进行投标；</w:t>
      </w:r>
    </w:p>
    <w:p w14:paraId="227E4C2B">
      <w:pPr>
        <w:pStyle w:val="113"/>
        <w:ind w:firstLine="480"/>
        <w:rPr>
          <w:rFonts w:eastAsia="宋体" w:cs="宋体"/>
        </w:rPr>
      </w:pPr>
      <w:r>
        <w:rPr>
          <w:rFonts w:hint="eastAsia" w:eastAsia="宋体" w:cs="宋体"/>
        </w:rPr>
        <w:t>4.3.2 发生以下情况时，招标人有权没收保证金：</w:t>
      </w:r>
    </w:p>
    <w:p w14:paraId="7F89B2B6">
      <w:pPr>
        <w:pStyle w:val="113"/>
        <w:ind w:firstLine="480"/>
        <w:rPr>
          <w:rFonts w:eastAsia="宋体" w:cs="宋体"/>
        </w:rPr>
      </w:pPr>
      <w:r>
        <w:rPr>
          <w:rFonts w:hint="eastAsia" w:eastAsia="宋体" w:cs="宋体"/>
        </w:rPr>
        <w:t>4.3.2.1 截至开标前3天，投标人无正当理由且未以书面形式递交说明而在投标截止日不来投标的；</w:t>
      </w:r>
    </w:p>
    <w:p w14:paraId="6C1614A5">
      <w:pPr>
        <w:pStyle w:val="113"/>
        <w:ind w:firstLine="480"/>
        <w:rPr>
          <w:rFonts w:eastAsia="宋体" w:cs="宋体"/>
        </w:rPr>
      </w:pPr>
      <w:r>
        <w:rPr>
          <w:rFonts w:hint="eastAsia" w:eastAsia="宋体" w:cs="宋体"/>
        </w:rPr>
        <w:t>4.3.2.2 投标人递送投标文件后，无正当理由放弃投标的；</w:t>
      </w:r>
    </w:p>
    <w:p w14:paraId="0EF6E16F">
      <w:pPr>
        <w:pStyle w:val="113"/>
        <w:ind w:firstLine="480"/>
        <w:rPr>
          <w:rFonts w:eastAsia="宋体" w:cs="宋体"/>
        </w:rPr>
      </w:pPr>
      <w:r>
        <w:rPr>
          <w:rFonts w:hint="eastAsia" w:eastAsia="宋体" w:cs="宋体"/>
        </w:rPr>
        <w:t>4.3.2.3若为视频开标，招标过程中澄清函等资料原件未按要求提交的；</w:t>
      </w:r>
    </w:p>
    <w:p w14:paraId="1C552EF7">
      <w:pPr>
        <w:pStyle w:val="113"/>
        <w:ind w:firstLine="480"/>
        <w:rPr>
          <w:rFonts w:eastAsia="宋体" w:cs="宋体"/>
        </w:rPr>
      </w:pPr>
      <w:r>
        <w:rPr>
          <w:rFonts w:hint="eastAsia" w:eastAsia="宋体" w:cs="宋体"/>
        </w:rPr>
        <w:t>4.3.2.4自中标通知书发出之日起30日内，中标人无正当理由不签订合同的；</w:t>
      </w:r>
    </w:p>
    <w:p w14:paraId="4E7088F9">
      <w:pPr>
        <w:pStyle w:val="113"/>
        <w:ind w:firstLine="480"/>
        <w:rPr>
          <w:rFonts w:eastAsia="宋体" w:cs="宋体"/>
        </w:rPr>
      </w:pPr>
      <w:r>
        <w:rPr>
          <w:rFonts w:hint="eastAsia" w:eastAsia="宋体" w:cs="宋体"/>
        </w:rPr>
        <w:t>4.3.2.5投标人在投标过程中被查实有串标、围标、陪标等违规违纪行为的；</w:t>
      </w:r>
    </w:p>
    <w:p w14:paraId="473F26C6">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4.3.2.6投标人有违约违规行为或被投诉、举报的，在调查处理期间，保证金暂不退还，待调查处理结束后按有关规定处理。</w:t>
      </w:r>
    </w:p>
    <w:p w14:paraId="6BE78567">
      <w:pPr>
        <w:pStyle w:val="113"/>
        <w:ind w:firstLine="480"/>
        <w:rPr>
          <w:rFonts w:eastAsia="宋体" w:cs="宋体"/>
        </w:rPr>
      </w:pPr>
      <w:r>
        <w:rPr>
          <w:rFonts w:hint="eastAsia" w:eastAsia="宋体" w:cs="宋体"/>
        </w:rPr>
        <w:t>4.4投标报名截止时间</w:t>
      </w:r>
    </w:p>
    <w:p w14:paraId="5EECC0CF">
      <w:pPr>
        <w:pStyle w:val="113"/>
        <w:ind w:firstLine="480"/>
        <w:rPr>
          <w:rFonts w:eastAsia="宋体" w:cs="宋体"/>
        </w:rPr>
      </w:pPr>
      <w:r>
        <w:rPr>
          <w:rFonts w:hint="eastAsia" w:eastAsia="宋体" w:cs="宋体"/>
        </w:rPr>
        <w:t>报名方式：</w:t>
      </w:r>
      <w:r>
        <w:rPr>
          <w:rFonts w:hint="eastAsia" w:eastAsia="宋体" w:cs="宋体"/>
          <w:highlight w:val="yellow"/>
        </w:rPr>
        <w:t>见《投标须知前附表》2.3。</w:t>
      </w:r>
    </w:p>
    <w:p w14:paraId="46B9644D">
      <w:pPr>
        <w:pStyle w:val="113"/>
        <w:ind w:firstLine="480"/>
        <w:rPr>
          <w:rFonts w:eastAsia="宋体" w:cs="宋体"/>
        </w:rPr>
      </w:pPr>
      <w:r>
        <w:rPr>
          <w:rFonts w:hint="eastAsia" w:eastAsia="宋体" w:cs="宋体"/>
        </w:rPr>
        <w:t>报名提交资料：均为盖章电子扫描版，用“公司名称+文件名称”命名。</w:t>
      </w:r>
    </w:p>
    <w:p w14:paraId="52612802">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799C051C">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39E20C88">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14:paraId="484BA47B">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5.开标时间</w:t>
      </w:r>
    </w:p>
    <w:p w14:paraId="38C04BFE">
      <w:pPr>
        <w:keepNext/>
        <w:keepLines/>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见《投标须知前附表》5.1，若有变动另行通知。</w:t>
      </w:r>
    </w:p>
    <w:p w14:paraId="52F7A6A8">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6.开标方式</w:t>
      </w:r>
    </w:p>
    <w:p w14:paraId="34DB9BD0">
      <w:pPr>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lang w:val="en-US" w:eastAsia="zh-CN"/>
        </w:rPr>
        <w:t>线上开标</w:t>
      </w:r>
      <w:r>
        <w:rPr>
          <w:rFonts w:hint="eastAsia" w:ascii="宋体" w:hAnsi="宋体" w:eastAsia="宋体" w:cs="宋体"/>
          <w:color w:val="000000"/>
          <w:sz w:val="24"/>
          <w:szCs w:val="24"/>
          <w:highlight w:val="yellow"/>
        </w:rPr>
        <w:t>。</w:t>
      </w:r>
    </w:p>
    <w:p w14:paraId="2009E059">
      <w:pPr>
        <w:spacing w:line="360" w:lineRule="auto"/>
        <w:jc w:val="left"/>
        <w:outlineLvl w:val="1"/>
        <w:rPr>
          <w:rFonts w:ascii="宋体" w:hAnsi="宋体" w:eastAsia="宋体" w:cs="宋体"/>
          <w:b/>
          <w:sz w:val="24"/>
          <w:szCs w:val="24"/>
        </w:rPr>
      </w:pPr>
      <w:bookmarkStart w:id="8" w:name="_Toc33266627"/>
      <w:bookmarkStart w:id="9" w:name="_Toc33266950"/>
      <w:bookmarkStart w:id="10" w:name="_Toc33266914"/>
      <w:bookmarkStart w:id="11" w:name="_Toc33265653"/>
      <w:bookmarkStart w:id="12" w:name="_Toc33285487"/>
      <w:bookmarkStart w:id="13" w:name="_Toc33267001"/>
      <w:bookmarkStart w:id="14" w:name="_Toc33265752"/>
      <w:r>
        <w:rPr>
          <w:rFonts w:hint="eastAsia" w:ascii="宋体" w:hAnsi="宋体" w:eastAsia="宋体" w:cs="宋体"/>
          <w:b/>
          <w:sz w:val="24"/>
          <w:szCs w:val="24"/>
        </w:rPr>
        <w:t>六、评价原则</w:t>
      </w:r>
      <w:bookmarkEnd w:id="8"/>
      <w:bookmarkEnd w:id="9"/>
      <w:bookmarkEnd w:id="10"/>
      <w:bookmarkEnd w:id="11"/>
      <w:bookmarkEnd w:id="12"/>
      <w:bookmarkEnd w:id="13"/>
      <w:bookmarkEnd w:id="14"/>
      <w:bookmarkStart w:id="15" w:name="_Toc395116633"/>
    </w:p>
    <w:bookmarkEnd w:id="15"/>
    <w:p w14:paraId="0E7F9722">
      <w:p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1.评标</w:t>
      </w:r>
    </w:p>
    <w:p w14:paraId="58D2A950">
      <w:pPr>
        <w:adjustRightInd w:val="0"/>
        <w:snapToGrid w:val="0"/>
        <w:spacing w:line="360" w:lineRule="auto"/>
        <w:ind w:firstLine="482" w:firstLineChars="200"/>
        <w:rPr>
          <w:rFonts w:hint="eastAsia" w:ascii="宋体" w:hAnsi="宋体" w:eastAsia="宋体" w:cs="宋体"/>
          <w:b/>
          <w:color w:val="000000"/>
          <w:sz w:val="24"/>
          <w:szCs w:val="24"/>
          <w:highlight w:val="magenta"/>
        </w:rPr>
      </w:pPr>
      <w:r>
        <w:rPr>
          <w:rFonts w:hint="eastAsia" w:ascii="宋体" w:hAnsi="宋体" w:eastAsia="宋体" w:cs="宋体"/>
          <w:b/>
          <w:color w:val="000000"/>
          <w:sz w:val="24"/>
          <w:szCs w:val="24"/>
          <w:highlight w:val="magenta"/>
        </w:rPr>
        <w:t>本次招标采用</w:t>
      </w:r>
      <w:bookmarkStart w:id="16" w:name="_Toc395116634"/>
      <w:bookmarkStart w:id="17" w:name="_Toc33266951"/>
      <w:bookmarkStart w:id="18" w:name="_Toc33285489"/>
      <w:bookmarkStart w:id="19" w:name="_Toc33265753"/>
      <w:bookmarkStart w:id="20" w:name="_Toc33266915"/>
      <w:bookmarkStart w:id="21" w:name="_Toc33265654"/>
      <w:bookmarkStart w:id="22" w:name="_Toc33267002"/>
      <w:bookmarkStart w:id="23" w:name="_Toc33266628"/>
      <w:r>
        <w:rPr>
          <w:rFonts w:hint="eastAsia" w:ascii="宋体" w:hAnsi="宋体" w:eastAsia="宋体" w:cs="宋体"/>
          <w:b/>
          <w:color w:val="000000"/>
          <w:sz w:val="24"/>
          <w:szCs w:val="24"/>
          <w:highlight w:val="magenta"/>
          <w:lang w:val="en-US" w:eastAsia="zh-CN"/>
        </w:rPr>
        <w:t>综合评价法（详见附件14）。</w:t>
      </w:r>
      <w:r>
        <w:rPr>
          <w:rFonts w:hint="eastAsia" w:ascii="宋体" w:hAnsi="宋体" w:eastAsia="宋体" w:cs="宋体"/>
          <w:b/>
          <w:color w:val="000000"/>
          <w:sz w:val="24"/>
          <w:szCs w:val="24"/>
          <w:highlight w:val="magenta"/>
        </w:rPr>
        <w:t>本着公平、公正、公开的原则，在</w:t>
      </w:r>
      <w:r>
        <w:rPr>
          <w:rFonts w:hint="eastAsia" w:ascii="宋体" w:hAnsi="宋体" w:eastAsia="宋体" w:cs="宋体"/>
          <w:b/>
          <w:color w:val="000000"/>
          <w:sz w:val="24"/>
          <w:szCs w:val="24"/>
          <w:highlight w:val="magenta"/>
          <w:lang w:val="en-US" w:eastAsia="zh-CN"/>
        </w:rPr>
        <w:t>通过技术标</w:t>
      </w:r>
      <w:r>
        <w:rPr>
          <w:rFonts w:hint="eastAsia" w:ascii="宋体" w:hAnsi="宋体" w:eastAsia="宋体" w:cs="宋体"/>
          <w:b/>
          <w:color w:val="000000"/>
          <w:sz w:val="24"/>
          <w:szCs w:val="24"/>
          <w:highlight w:val="magenta"/>
        </w:rPr>
        <w:t>评审</w:t>
      </w:r>
      <w:r>
        <w:rPr>
          <w:rFonts w:hint="eastAsia" w:ascii="宋体" w:hAnsi="宋体" w:eastAsia="宋体" w:cs="宋体"/>
          <w:b/>
          <w:color w:val="000000"/>
          <w:sz w:val="24"/>
          <w:szCs w:val="24"/>
          <w:highlight w:val="magenta"/>
          <w:lang w:val="en-US" w:eastAsia="zh-CN"/>
        </w:rPr>
        <w:t>后入围</w:t>
      </w:r>
      <w:r>
        <w:rPr>
          <w:rFonts w:hint="eastAsia" w:ascii="宋体" w:hAnsi="宋体" w:eastAsia="宋体" w:cs="宋体"/>
          <w:b/>
          <w:color w:val="000000"/>
          <w:sz w:val="24"/>
          <w:szCs w:val="24"/>
          <w:highlight w:val="magenta"/>
        </w:rPr>
        <w:t>的前提下，对招标文件中规定的各项因素进行综合评审，确定中标人，对未中标单位不做任何解释。</w:t>
      </w:r>
    </w:p>
    <w:bookmarkEnd w:id="16"/>
    <w:bookmarkEnd w:id="17"/>
    <w:bookmarkEnd w:id="18"/>
    <w:bookmarkEnd w:id="19"/>
    <w:bookmarkEnd w:id="20"/>
    <w:bookmarkEnd w:id="21"/>
    <w:bookmarkEnd w:id="22"/>
    <w:bookmarkEnd w:id="23"/>
    <w:p w14:paraId="18101EDA">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评标流程：</w:t>
      </w:r>
    </w:p>
    <w:p w14:paraId="7C1F69D2">
      <w:pPr>
        <w:pStyle w:val="16"/>
        <w:spacing w:line="360" w:lineRule="auto"/>
        <w:ind w:firstLine="482" w:firstLineChars="200"/>
        <w:rPr>
          <w:rFonts w:hAnsi="宋体" w:eastAsia="宋体" w:cs="宋体"/>
          <w:sz w:val="24"/>
          <w:szCs w:val="24"/>
        </w:rPr>
      </w:pPr>
      <w:r>
        <w:rPr>
          <w:rFonts w:hint="eastAsia" w:hAnsi="宋体" w:eastAsia="宋体" w:cs="宋体"/>
          <w:b/>
          <w:color w:val="000000"/>
          <w:sz w:val="24"/>
          <w:szCs w:val="24"/>
        </w:rPr>
        <w:t>投标文件包含《投标文件（资质标）》、《投标文件（技术标）》、《投标文件（商务标）》（开标一览表），共计三个文件。</w:t>
      </w:r>
    </w:p>
    <w:p w14:paraId="3814BAC4">
      <w:pPr>
        <w:numPr>
          <w:ilvl w:val="0"/>
          <w:numId w:val="5"/>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w:t>
      </w:r>
      <w:r>
        <w:rPr>
          <w:rFonts w:hint="eastAsia" w:ascii="宋体" w:hAnsi="宋体" w:eastAsia="宋体" w:cs="宋体"/>
          <w:b/>
          <w:bCs/>
          <w:color w:val="000000"/>
          <w:sz w:val="24"/>
          <w:szCs w:val="24"/>
        </w:rPr>
        <w:t>按照第三部分第三条投标文件组成资格证明文件中的1.1-1.12准备资料，上传完毕后，等待审核</w:t>
      </w:r>
      <w:r>
        <w:rPr>
          <w:rFonts w:hint="eastAsia" w:ascii="宋体" w:hAnsi="宋体" w:eastAsia="宋体" w:cs="宋体"/>
          <w:b/>
          <w:color w:val="000000"/>
          <w:sz w:val="24"/>
          <w:szCs w:val="24"/>
        </w:rPr>
        <w:t>；</w:t>
      </w:r>
    </w:p>
    <w:p w14:paraId="24602411">
      <w:pPr>
        <w:numPr>
          <w:ilvl w:val="0"/>
          <w:numId w:val="6"/>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通过应标资格审查的单位进入投标环节，按照“SRM系统供应商用户手册（附件16）”，在重汽e采通平台投递电子标书（包含资质标、技术标、商务标）；没有通过应标资质审查的单位不能进入投标环节；</w:t>
      </w:r>
    </w:p>
    <w:p w14:paraId="04469C71">
      <w:pPr>
        <w:numPr>
          <w:ilvl w:val="0"/>
          <w:numId w:val="5"/>
        </w:numPr>
        <w:spacing w:line="360" w:lineRule="auto"/>
        <w:rPr>
          <w:rFonts w:ascii="宋体" w:hAnsi="宋体" w:eastAsia="宋体" w:cs="宋体"/>
          <w:b/>
          <w:color w:val="000000"/>
          <w:sz w:val="24"/>
          <w:szCs w:val="24"/>
        </w:rPr>
      </w:pPr>
      <w:r>
        <w:rPr>
          <w:rFonts w:hint="eastAsia" w:ascii="宋体" w:hAnsi="宋体" w:eastAsia="宋体" w:cs="宋体"/>
          <w:b/>
          <w:sz w:val="24"/>
          <w:szCs w:val="24"/>
        </w:rPr>
        <w:t>资质标评审：资质标审核通过的单位，可以进入</w:t>
      </w:r>
      <w:r>
        <w:rPr>
          <w:rFonts w:hint="eastAsia" w:ascii="宋体" w:hAnsi="宋体" w:eastAsia="宋体" w:cs="宋体"/>
          <w:b/>
          <w:color w:val="000000"/>
          <w:sz w:val="24"/>
          <w:szCs w:val="24"/>
        </w:rPr>
        <w:t>公开唱标环节；</w:t>
      </w:r>
    </w:p>
    <w:p w14:paraId="14F74173">
      <w:pPr>
        <w:numPr>
          <w:ilvl w:val="0"/>
          <w:numId w:val="7"/>
        </w:numPr>
        <w:spacing w:line="360" w:lineRule="auto"/>
        <w:rPr>
          <w:rFonts w:ascii="宋体" w:hAnsi="宋体" w:eastAsia="宋体" w:cs="宋体"/>
          <w:b/>
          <w:sz w:val="24"/>
          <w:szCs w:val="24"/>
        </w:rPr>
      </w:pPr>
      <w:r>
        <w:rPr>
          <w:rFonts w:hint="eastAsia" w:ascii="宋体" w:hAnsi="宋体" w:eastAsia="宋体" w:cs="宋体"/>
          <w:b/>
          <w:color w:val="000000"/>
          <w:sz w:val="24"/>
          <w:szCs w:val="24"/>
        </w:rPr>
        <w:t>公开唱标：公示资质标入围单位的开标价格及商务条款响应情况</w:t>
      </w:r>
      <w:r>
        <w:rPr>
          <w:rFonts w:hint="eastAsia" w:ascii="宋体" w:hAnsi="宋体" w:eastAsia="宋体" w:cs="宋体"/>
          <w:b/>
          <w:sz w:val="24"/>
          <w:szCs w:val="24"/>
        </w:rPr>
        <w:t>；</w:t>
      </w:r>
    </w:p>
    <w:p w14:paraId="56C88AD7">
      <w:pPr>
        <w:numPr>
          <w:ilvl w:val="0"/>
          <w:numId w:val="7"/>
        </w:numPr>
        <w:spacing w:line="360" w:lineRule="auto"/>
        <w:rPr>
          <w:rFonts w:ascii="宋体" w:hAnsi="宋体" w:eastAsia="宋体" w:cs="宋体"/>
          <w:b/>
          <w:sz w:val="24"/>
          <w:szCs w:val="24"/>
        </w:rPr>
      </w:pPr>
      <w:r>
        <w:rPr>
          <w:rFonts w:hint="eastAsia" w:ascii="宋体" w:hAnsi="宋体" w:eastAsia="宋体" w:cs="宋体"/>
          <w:b/>
          <w:color w:val="000000"/>
          <w:sz w:val="24"/>
          <w:szCs w:val="24"/>
        </w:rPr>
        <w:t>技术标评审</w:t>
      </w:r>
      <w:r>
        <w:rPr>
          <w:rFonts w:hint="eastAsia" w:ascii="宋体" w:hAnsi="宋体" w:eastAsia="宋体" w:cs="宋体"/>
          <w:b/>
          <w:sz w:val="24"/>
          <w:szCs w:val="24"/>
        </w:rPr>
        <w:t>：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4"/>
          <w:szCs w:val="24"/>
        </w:rPr>
        <w:t>技术标评分标准见附件14；</w:t>
      </w:r>
    </w:p>
    <w:p w14:paraId="7B551A4F">
      <w:pPr>
        <w:numPr>
          <w:ilvl w:val="0"/>
          <w:numId w:val="8"/>
        </w:numPr>
        <w:spacing w:line="360" w:lineRule="auto"/>
        <w:rPr>
          <w:rFonts w:ascii="宋体" w:hAnsi="宋体" w:eastAsia="宋体" w:cs="宋体"/>
          <w:b/>
          <w:sz w:val="24"/>
          <w:szCs w:val="24"/>
        </w:rPr>
      </w:pPr>
      <w:r>
        <w:rPr>
          <w:rFonts w:hint="eastAsia" w:ascii="宋体" w:hAnsi="宋体" w:eastAsia="宋体" w:cs="宋体"/>
          <w:b/>
          <w:sz w:val="24"/>
          <w:szCs w:val="24"/>
        </w:rPr>
        <w:t>商务标评审：商务条款相应确认→价格澄清→商务标评审；评审期间产生的商务价格澄清均由投标人在重汽e采通平台限时内完成提交；</w:t>
      </w:r>
    </w:p>
    <w:p w14:paraId="12A79E0E">
      <w:pPr>
        <w:numPr>
          <w:ilvl w:val="255"/>
          <w:numId w:val="0"/>
        </w:num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注意：投标人均需要自带笔记本电脑在重汽e采通进行自主投标和提交澄清函；投标和提交澄清函均有时间限制，超时未提交的按无效处理。</w:t>
      </w:r>
    </w:p>
    <w:p w14:paraId="5F7DF138">
      <w:pPr>
        <w:numPr>
          <w:ilvl w:val="0"/>
          <w:numId w:val="9"/>
        </w:numPr>
        <w:spacing w:line="360" w:lineRule="auto"/>
        <w:rPr>
          <w:rFonts w:ascii="宋体" w:hAnsi="宋体" w:eastAsia="宋体" w:cs="宋体"/>
          <w:b/>
          <w:sz w:val="24"/>
          <w:szCs w:val="24"/>
          <w:highlight w:val="magenta"/>
        </w:rPr>
      </w:pPr>
      <w:r>
        <w:rPr>
          <w:rFonts w:hint="eastAsia" w:ascii="宋体" w:hAnsi="宋体" w:eastAsia="宋体" w:cs="宋体"/>
          <w:b/>
          <w:color w:val="auto"/>
          <w:sz w:val="24"/>
          <w:szCs w:val="24"/>
          <w:highlight w:val="magenta"/>
          <w:lang w:val="en-US" w:eastAsia="zh-CN"/>
        </w:rPr>
        <w:t>中标人确定</w:t>
      </w:r>
      <w:r>
        <w:rPr>
          <w:rFonts w:hint="eastAsia" w:ascii="宋体" w:hAnsi="宋体" w:eastAsia="宋体" w:cs="宋体"/>
          <w:b/>
          <w:color w:val="auto"/>
          <w:sz w:val="24"/>
          <w:szCs w:val="24"/>
          <w:highlight w:val="magenta"/>
        </w:rPr>
        <w:t>：</w:t>
      </w:r>
      <w:r>
        <w:rPr>
          <w:rFonts w:hint="eastAsia" w:ascii="宋体" w:hAnsi="宋体" w:eastAsia="宋体" w:cs="宋体"/>
          <w:b/>
          <w:color w:val="auto"/>
          <w:sz w:val="24"/>
          <w:szCs w:val="24"/>
          <w:highlight w:val="magenta"/>
          <w:lang w:val="en-US" w:eastAsia="zh-CN"/>
        </w:rPr>
        <w:t>技术标入围后，原则上</w:t>
      </w:r>
      <w:r>
        <w:rPr>
          <w:rFonts w:hint="eastAsia" w:ascii="宋体" w:hAnsi="宋体" w:eastAsia="宋体" w:cs="宋体"/>
          <w:b/>
          <w:bCs/>
          <w:color w:val="auto"/>
          <w:sz w:val="24"/>
          <w:szCs w:val="24"/>
          <w:highlight w:val="magenta"/>
          <w:lang w:val="en-US" w:eastAsia="zh-CN"/>
        </w:rPr>
        <w:t>综合评分最高的投标方</w:t>
      </w:r>
      <w:r>
        <w:rPr>
          <w:rFonts w:hint="eastAsia" w:ascii="宋体" w:hAnsi="宋体" w:eastAsia="宋体" w:cs="宋体"/>
          <w:b/>
          <w:color w:val="auto"/>
          <w:sz w:val="24"/>
          <w:szCs w:val="24"/>
          <w:highlight w:val="magenta"/>
          <w:lang w:val="en-US" w:eastAsia="zh-CN"/>
        </w:rPr>
        <w:t>中标</w:t>
      </w:r>
      <w:r>
        <w:rPr>
          <w:rFonts w:hint="eastAsia" w:ascii="宋体" w:hAnsi="宋体" w:eastAsia="宋体" w:cs="宋体"/>
          <w:b/>
          <w:color w:val="auto"/>
          <w:sz w:val="24"/>
          <w:szCs w:val="24"/>
          <w:highlight w:val="magenta"/>
        </w:rPr>
        <w:t>。</w:t>
      </w:r>
    </w:p>
    <w:p w14:paraId="572E14F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r>
        <w:rPr>
          <w:rFonts w:hint="eastAsia" w:ascii="宋体" w:hAnsi="宋体" w:eastAsia="宋体" w:cs="宋体"/>
          <w:color w:val="000000"/>
          <w:sz w:val="24"/>
          <w:szCs w:val="24"/>
        </w:rPr>
        <w:t>。</w:t>
      </w:r>
    </w:p>
    <w:p w14:paraId="2D97D94E">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七、合同签订</w:t>
      </w:r>
    </w:p>
    <w:p w14:paraId="7B96CA4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14:paraId="423AE0B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4B5B0AF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14:paraId="13A608FD">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14:paraId="25C7C144">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5.合同以双方最终签署的版本为准。</w:t>
      </w:r>
    </w:p>
    <w:p w14:paraId="6FAF612E">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八、废标及终止招标</w:t>
      </w:r>
    </w:p>
    <w:p w14:paraId="0337F6EB">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5973954">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1369DD8F">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69377604">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557BA7A1">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42318880">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14:paraId="348FF333">
      <w:pPr>
        <w:pStyle w:val="16"/>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017A5CF5">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1BC26EE4">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2CBD6AE6">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14:paraId="517BDAED">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70F59BCD">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57054564">
      <w:pPr>
        <w:pStyle w:val="16"/>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（12）不同投标人的投标文件异常一致；</w:t>
      </w:r>
    </w:p>
    <w:p w14:paraId="4005A715">
      <w:pPr>
        <w:pStyle w:val="16"/>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（13）投标报价呈规律性差异的；</w:t>
      </w:r>
    </w:p>
    <w:p w14:paraId="5724F300">
      <w:pPr>
        <w:pStyle w:val="16"/>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（14）投标人报价均超过投标限价的；</w:t>
      </w:r>
    </w:p>
    <w:p w14:paraId="533F5D51">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hAnsi="宋体" w:eastAsia="宋体" w:cs="宋体"/>
          <w:color w:val="000000"/>
          <w:sz w:val="24"/>
          <w:szCs w:val="24"/>
        </w:rPr>
        <w:t>5</w:t>
      </w:r>
      <w:r>
        <w:rPr>
          <w:rFonts w:hint="eastAsia" w:ascii="宋体" w:hAnsi="宋体" w:eastAsia="宋体" w:cs="宋体"/>
          <w:color w:val="000000"/>
          <w:sz w:val="24"/>
          <w:szCs w:val="24"/>
        </w:rPr>
        <w:t>）法律、法规规定的其他情况。</w:t>
      </w:r>
    </w:p>
    <w:p w14:paraId="0E6AEBF0">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1E2308E3">
      <w:pPr>
        <w:spacing w:line="360" w:lineRule="auto"/>
        <w:ind w:right="2" w:firstLine="480" w:firstLineChars="200"/>
        <w:rPr>
          <w:rFonts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34E20F78">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（2）出现影响采购公正的违法、违规行为的；</w:t>
      </w:r>
    </w:p>
    <w:p w14:paraId="71AFDB11">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25EF156F">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（4）因重大变故，采购任务取消的</w:t>
      </w:r>
      <w:bookmarkStart w:id="24" w:name="OLE_LINK26"/>
      <w:bookmarkStart w:id="25" w:name="OLE_LINK29"/>
      <w:bookmarkStart w:id="26" w:name="OLE_LINK28"/>
      <w:bookmarkStart w:id="27" w:name="OLE_LINK27"/>
      <w:bookmarkStart w:id="28" w:name="OLE_LINK25"/>
      <w:r>
        <w:rPr>
          <w:rFonts w:hint="eastAsia" w:ascii="宋体" w:hAnsi="宋体" w:eastAsia="宋体" w:cs="宋体"/>
          <w:bCs/>
          <w:sz w:val="24"/>
          <w:szCs w:val="24"/>
        </w:rPr>
        <w:t>；</w:t>
      </w:r>
      <w:bookmarkEnd w:id="24"/>
      <w:bookmarkEnd w:id="25"/>
      <w:bookmarkEnd w:id="26"/>
      <w:bookmarkEnd w:id="27"/>
      <w:bookmarkEnd w:id="28"/>
    </w:p>
    <w:p w14:paraId="7ECE9B58">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16145579">
      <w:pPr>
        <w:pStyle w:val="16"/>
        <w:spacing w:line="360" w:lineRule="auto"/>
        <w:ind w:firstLine="480" w:firstLineChars="200"/>
        <w:rPr>
          <w:rFonts w:hAnsi="宋体" w:eastAsia="宋体" w:cs="宋体"/>
          <w:bCs/>
          <w:sz w:val="24"/>
          <w:szCs w:val="24"/>
        </w:rPr>
      </w:pPr>
      <w:r>
        <w:rPr>
          <w:rFonts w:hint="eastAsia" w:hAnsi="宋体" w:eastAsia="宋体" w:cs="宋体"/>
          <w:bCs/>
          <w:sz w:val="24"/>
          <w:szCs w:val="24"/>
        </w:rPr>
        <w:t>（6）招标人认为其他应终止招标的情形。</w:t>
      </w:r>
    </w:p>
    <w:p w14:paraId="2781C600">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6E828CB8">
      <w:pPr>
        <w:spacing w:line="360" w:lineRule="auto"/>
        <w:ind w:right="2" w:firstLine="482" w:firstLineChars="200"/>
        <w:outlineLvl w:val="1"/>
        <w:rPr>
          <w:rFonts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w:t>
      </w:r>
      <w:r>
        <w:rPr>
          <w:rFonts w:hint="eastAsia" w:ascii="宋体" w:hAnsi="宋体" w:eastAsia="宋体" w:cs="宋体"/>
          <w:b/>
          <w:color w:val="000000"/>
          <w:sz w:val="24"/>
          <w:szCs w:val="24"/>
          <w:lang w:eastAsia="zh-CN"/>
        </w:rPr>
        <w:t>重汽（济南）车桥有限公司</w:t>
      </w:r>
      <w:r>
        <w:rPr>
          <w:rFonts w:hint="eastAsia" w:ascii="宋体" w:hAnsi="宋体" w:eastAsia="宋体" w:cs="宋体"/>
          <w:b/>
          <w:color w:val="000000"/>
          <w:sz w:val="24"/>
          <w:szCs w:val="24"/>
        </w:rPr>
        <w:t>。</w:t>
      </w:r>
    </w:p>
    <w:p w14:paraId="24FBFFDD">
      <w:pPr>
        <w:pStyle w:val="16"/>
        <w:spacing w:line="360" w:lineRule="auto"/>
        <w:jc w:val="center"/>
        <w:rPr>
          <w:rFonts w:hAnsi="宋体" w:eastAsia="宋体" w:cs="宋体"/>
          <w:b/>
          <w:bCs/>
          <w:kern w:val="44"/>
          <w:sz w:val="24"/>
          <w:szCs w:val="24"/>
        </w:rPr>
        <w:sectPr>
          <w:footerReference r:id="rId9" w:type="default"/>
          <w:pgSz w:w="11907" w:h="16840"/>
          <w:pgMar w:top="1304" w:right="1418" w:bottom="1304" w:left="1418" w:header="724" w:footer="851" w:gutter="0"/>
          <w:pgBorders>
            <w:top w:val="none" w:sz="0" w:space="0"/>
            <w:left w:val="none" w:sz="0" w:space="0"/>
            <w:bottom w:val="none" w:sz="0" w:space="0"/>
            <w:right w:val="none" w:sz="0" w:space="0"/>
          </w:pgBorders>
          <w:cols w:space="720" w:num="1"/>
          <w:docGrid w:linePitch="290" w:charSpace="-3931"/>
        </w:sectPr>
      </w:pPr>
    </w:p>
    <w:p w14:paraId="19C59710">
      <w:pPr>
        <w:pStyle w:val="16"/>
        <w:numPr>
          <w:ilvl w:val="255"/>
          <w:numId w:val="0"/>
        </w:numPr>
        <w:jc w:val="center"/>
        <w:outlineLvl w:val="0"/>
        <w:rPr>
          <w:rFonts w:ascii="Calibri" w:hAnsi="Calibri" w:eastAsia="宋体" w:cs="Times New Roman"/>
          <w:b/>
          <w:bCs/>
          <w:kern w:val="44"/>
          <w:sz w:val="36"/>
          <w:szCs w:val="44"/>
        </w:rPr>
      </w:pPr>
      <w:bookmarkStart w:id="29" w:name="_Toc22879"/>
      <w:r>
        <w:rPr>
          <w:rFonts w:hint="eastAsia" w:ascii="Calibri" w:hAnsi="Calibri" w:eastAsia="宋体" w:cs="Times New Roman"/>
          <w:b/>
          <w:bCs/>
          <w:kern w:val="44"/>
          <w:sz w:val="36"/>
          <w:szCs w:val="44"/>
        </w:rPr>
        <w:t>第三部分 投标文件编制</w:t>
      </w:r>
      <w:bookmarkEnd w:id="29"/>
    </w:p>
    <w:p w14:paraId="5BE8347D">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一、投标文件的编制</w:t>
      </w:r>
    </w:p>
    <w:p w14:paraId="13FFD7B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3030385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14:paraId="79729EC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14:paraId="6E32865A">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二、投标文件资料</w:t>
      </w:r>
    </w:p>
    <w:p w14:paraId="4BA3D61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14:paraId="72F3FDF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14:paraId="686B5FC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1DE0919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5FFDCCD9">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546FEEA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73285D5A">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14:paraId="388FCC32">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三、投标文件的组成</w:t>
      </w:r>
    </w:p>
    <w:p w14:paraId="4133483C">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sz w:val="24"/>
          <w:szCs w:val="24"/>
        </w:rPr>
        <w:t>本项目投标文件分为</w:t>
      </w:r>
      <w:r>
        <w:rPr>
          <w:rFonts w:hint="eastAsia" w:ascii="宋体" w:hAnsi="宋体" w:eastAsia="宋体" w:cs="宋体"/>
          <w:b/>
          <w:sz w:val="24"/>
          <w:szCs w:val="24"/>
        </w:rPr>
        <w:t>纸质版</w:t>
      </w:r>
      <w:r>
        <w:rPr>
          <w:rFonts w:hint="eastAsia" w:ascii="宋体" w:hAnsi="宋体" w:eastAsia="宋体" w:cs="宋体"/>
          <w:bCs/>
          <w:sz w:val="24"/>
          <w:szCs w:val="24"/>
        </w:rPr>
        <w:t>投标文件和</w:t>
      </w:r>
      <w:r>
        <w:rPr>
          <w:rFonts w:hint="eastAsia" w:ascii="宋体" w:hAnsi="宋体" w:eastAsia="宋体" w:cs="宋体"/>
          <w:b/>
          <w:sz w:val="24"/>
          <w:szCs w:val="24"/>
        </w:rPr>
        <w:t>电子版</w:t>
      </w:r>
      <w:r>
        <w:rPr>
          <w:rFonts w:hint="eastAsia" w:ascii="宋体" w:hAnsi="宋体" w:eastAsia="宋体" w:cs="宋体"/>
          <w:bCs/>
          <w:sz w:val="24"/>
          <w:szCs w:val="24"/>
        </w:rPr>
        <w:t>投标文件，均由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w:t>
      </w:r>
      <w:r>
        <w:rPr>
          <w:rFonts w:hint="eastAsia" w:ascii="宋体" w:hAnsi="宋体" w:eastAsia="宋体" w:cs="宋体"/>
          <w:bCs/>
          <w:color w:val="000000"/>
          <w:sz w:val="24"/>
          <w:szCs w:val="24"/>
        </w:rPr>
        <w:t>个文件。</w:t>
      </w:r>
    </w:p>
    <w:p w14:paraId="4490B98A">
      <w:pPr>
        <w:spacing w:line="360" w:lineRule="auto"/>
        <w:ind w:firstLine="482" w:firstLineChars="200"/>
        <w:rPr>
          <w:rFonts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14:paraId="5B6ABF2E">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63CEE5DF">
      <w:pPr>
        <w:spacing w:line="360" w:lineRule="auto"/>
        <w:ind w:firstLine="482" w:firstLineChars="200"/>
        <w:rPr>
          <w:rFonts w:ascii="宋体" w:hAnsi="宋体" w:eastAsia="宋体" w:cs="宋体"/>
          <w:color w:val="000000"/>
          <w:sz w:val="24"/>
          <w:szCs w:val="24"/>
        </w:rPr>
      </w:pPr>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14:paraId="0C9A95A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7BB6497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14:paraId="44A20E3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p>
    <w:p w14:paraId="696DCAFC">
      <w:pPr>
        <w:spacing w:line="360" w:lineRule="auto"/>
        <w:ind w:firstLine="480" w:firstLineChars="200"/>
        <w:rPr>
          <w:rFonts w:ascii="宋体" w:hAnsi="宋体" w:eastAsia="宋体" w:cs="宋体"/>
          <w:b/>
          <w:color w:val="000000"/>
          <w:sz w:val="24"/>
          <w:szCs w:val="24"/>
          <w:highlight w:val="yellow"/>
        </w:rPr>
      </w:pPr>
      <w:r>
        <w:rPr>
          <w:rFonts w:hint="eastAsia" w:ascii="宋体" w:hAnsi="宋体" w:eastAsia="宋体" w:cs="宋体"/>
          <w:color w:val="000000"/>
          <w:sz w:val="24"/>
          <w:szCs w:val="24"/>
        </w:rPr>
        <w:t>1.4近三年经第三方机构审计的财务报表（报告页、资产负债表、损益表、现金流量表）复印件（需加盖公章），必须连续，同时填写投标人基本情况表（附件3）</w:t>
      </w:r>
      <w:r>
        <w:rPr>
          <w:rFonts w:hint="eastAsia" w:ascii="宋体" w:hAnsi="宋体" w:eastAsia="宋体" w:cs="宋体"/>
          <w:b/>
          <w:color w:val="000000"/>
          <w:sz w:val="24"/>
          <w:szCs w:val="24"/>
        </w:rPr>
        <w:t>；</w:t>
      </w:r>
    </w:p>
    <w:p w14:paraId="34E2520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14:paraId="3E414EF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rPr>
        <w:t>（附投标当日系统内相关截图）</w:t>
      </w:r>
    </w:p>
    <w:p w14:paraId="5C0430D7">
      <w:pPr>
        <w:spacing w:line="360" w:lineRule="auto"/>
        <w:ind w:firstLine="480" w:firstLineChars="200"/>
      </w:pPr>
      <w:r>
        <w:rPr>
          <w:rFonts w:hint="eastAsia" w:ascii="宋体" w:hAnsi="宋体" w:eastAsia="宋体" w:cs="宋体"/>
          <w:color w:val="000000"/>
          <w:sz w:val="24"/>
          <w:szCs w:val="24"/>
        </w:rPr>
        <w:t>1.7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14:paraId="0BCDA66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1.8企业信用证明材料</w:t>
      </w:r>
      <w:r>
        <w:rPr>
          <w:rFonts w:hint="eastAsia" w:ascii="宋体" w:hAnsi="宋体" w:eastAsia="宋体" w:cs="宋体"/>
          <w:color w:val="000000"/>
          <w:sz w:val="24"/>
          <w:szCs w:val="24"/>
          <w:highlight w:val="yellow"/>
        </w:rPr>
        <w:t>（征信中心出具的信用报告）</w:t>
      </w:r>
      <w:r>
        <w:rPr>
          <w:rFonts w:hint="eastAsia" w:ascii="宋体" w:hAnsi="宋体" w:eastAsia="宋体" w:cs="宋体"/>
          <w:color w:val="000000"/>
          <w:sz w:val="24"/>
          <w:szCs w:val="24"/>
        </w:rPr>
        <w:t>；</w:t>
      </w:r>
    </w:p>
    <w:p w14:paraId="1CCFEC0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3BD846D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0</w:t>
      </w:r>
      <w:r>
        <w:rPr>
          <w:rFonts w:hint="eastAsia" w:ascii="宋体" w:hAnsi="宋体" w:eastAsia="宋体" w:cs="宋体"/>
          <w:color w:val="000000"/>
          <w:sz w:val="24"/>
          <w:szCs w:val="24"/>
        </w:rPr>
        <w:t>保密承诺函（附件4）；</w:t>
      </w:r>
    </w:p>
    <w:p w14:paraId="49C4BA5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 xml:space="preserve"> 202</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年1月1日至今，企业近三年同类项目业绩证明，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4B020EBB">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投标保证金缴纳凭证，同时</w:t>
      </w:r>
      <w:r>
        <w:rPr>
          <w:rFonts w:hint="eastAsia" w:ascii="宋体" w:hAnsi="宋体" w:eastAsia="宋体" w:cs="宋体"/>
          <w:color w:val="000000"/>
          <w:sz w:val="24"/>
          <w:szCs w:val="24"/>
          <w:highlight w:val="yellow"/>
        </w:rPr>
        <w:t>正文描述付款账号、户名、开户行名称、开户行行号、保证金金额</w:t>
      </w:r>
      <w:r>
        <w:rPr>
          <w:rFonts w:hint="eastAsia" w:ascii="宋体" w:hAnsi="宋体" w:eastAsia="宋体" w:cs="宋体"/>
          <w:color w:val="000000"/>
          <w:sz w:val="24"/>
          <w:szCs w:val="24"/>
        </w:rPr>
        <w:t>。</w:t>
      </w:r>
    </w:p>
    <w:p w14:paraId="6DDAF8F3">
      <w:pPr>
        <w:spacing w:line="360" w:lineRule="auto"/>
        <w:ind w:firstLine="482" w:firstLineChars="200"/>
        <w:rPr>
          <w:rFonts w:ascii="宋体" w:hAnsi="宋体" w:eastAsia="宋体" w:cs="宋体"/>
          <w:b/>
          <w:bCs/>
          <w:sz w:val="24"/>
          <w:szCs w:val="24"/>
        </w:rPr>
      </w:pPr>
      <w:bookmarkStart w:id="30" w:name="_Toc212369515"/>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30"/>
    </w:p>
    <w:p w14:paraId="1F87921D">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2.1技术规格偏离表（附件5-1），</w:t>
      </w:r>
      <w:r>
        <w:rPr>
          <w:rFonts w:hint="eastAsia" w:ascii="宋体" w:hAnsi="宋体" w:eastAsia="宋体" w:cs="宋体"/>
          <w:b/>
          <w:color w:val="000000"/>
          <w:sz w:val="24"/>
          <w:szCs w:val="24"/>
        </w:rPr>
        <w:t>必须先进行两列要求一一对照，不允许直接写无偏离；</w:t>
      </w:r>
    </w:p>
    <w:p w14:paraId="6C11CE9B">
      <w:pPr>
        <w:spacing w:line="360" w:lineRule="auto"/>
        <w:ind w:firstLine="480" w:firstLineChars="200"/>
        <w:rPr>
          <w:rFonts w:hAnsi="宋体" w:eastAsia="宋体" w:cs="宋体"/>
          <w:b/>
          <w:color w:val="000000"/>
          <w:sz w:val="24"/>
          <w:szCs w:val="24"/>
          <w:highlight w:val="yellow"/>
        </w:rPr>
      </w:pPr>
      <w:r>
        <w:rPr>
          <w:rFonts w:hint="eastAsia" w:ascii="宋体" w:hAnsi="宋体" w:eastAsia="宋体" w:cs="宋体"/>
          <w:bCs/>
          <w:color w:val="000000"/>
          <w:sz w:val="24"/>
          <w:szCs w:val="24"/>
        </w:rPr>
        <w:t>2.2</w:t>
      </w:r>
      <w:r>
        <w:rPr>
          <w:rFonts w:hint="eastAsia" w:hAnsi="宋体" w:eastAsia="宋体" w:cs="宋体"/>
          <w:color w:val="000000"/>
          <w:sz w:val="24"/>
          <w:szCs w:val="24"/>
          <w:highlight w:val="yellow"/>
        </w:rPr>
        <w:t>设备分项配置表（附件5-2），列明项目设备分项配置规格型号、品牌等信息（要求分项明细与附表9-1完全对应），但</w:t>
      </w:r>
      <w:r>
        <w:rPr>
          <w:rFonts w:hint="eastAsia" w:ascii="宋体" w:hAnsi="宋体" w:eastAsia="宋体" w:cs="宋体"/>
          <w:b/>
          <w:color w:val="000000"/>
          <w:sz w:val="24"/>
          <w:szCs w:val="24"/>
          <w:highlight w:val="yellow"/>
        </w:rPr>
        <w:t>注意：</w:t>
      </w:r>
      <w:r>
        <w:rPr>
          <w:rFonts w:hint="eastAsia" w:hAnsi="宋体" w:eastAsia="宋体" w:cs="宋体"/>
          <w:b/>
          <w:color w:val="000000"/>
          <w:sz w:val="24"/>
          <w:szCs w:val="24"/>
          <w:highlight w:val="yellow"/>
        </w:rPr>
        <w:t>此表在技术标书中，禁止出现任何分项价格及项目总价；</w:t>
      </w:r>
    </w:p>
    <w:p w14:paraId="2D1ED8A9">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2.3提供202</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年1月1日以来同类产品的制造销售业绩（用户名单、联系方式），并附合同复印件。该同类项目业绩一览表必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7AE3BF9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2.4供货期及保证措施；</w:t>
      </w:r>
    </w:p>
    <w:p w14:paraId="4AC4DF4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2.5产品的技术服务和售后服务内容及措施；</w:t>
      </w:r>
    </w:p>
    <w:p w14:paraId="3D92818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2.6交货进度及计划；</w:t>
      </w:r>
    </w:p>
    <w:p w14:paraId="68C3C0E1">
      <w:pPr>
        <w:spacing w:line="360" w:lineRule="auto"/>
        <w:ind w:firstLine="480" w:firstLineChars="200"/>
        <w:rPr>
          <w:rFonts w:ascii="宋体" w:hAnsi="宋体" w:eastAsia="宋体" w:cs="宋体"/>
          <w:color w:val="000000"/>
          <w:sz w:val="24"/>
          <w:szCs w:val="24"/>
        </w:rPr>
      </w:pPr>
      <w:bookmarkStart w:id="31" w:name="_Toc536542319"/>
      <w:r>
        <w:rPr>
          <w:rFonts w:hint="eastAsia" w:ascii="宋体" w:hAnsi="宋体" w:eastAsia="宋体" w:cs="宋体"/>
          <w:color w:val="000000"/>
          <w:sz w:val="24"/>
          <w:szCs w:val="24"/>
        </w:rPr>
        <w:t>2.7投标产品技术支持材料</w:t>
      </w:r>
      <w:bookmarkEnd w:id="31"/>
      <w:r>
        <w:rPr>
          <w:rFonts w:hint="eastAsia" w:ascii="宋体" w:hAnsi="宋体" w:eastAsia="宋体" w:cs="宋体"/>
          <w:color w:val="000000"/>
          <w:sz w:val="24"/>
          <w:szCs w:val="24"/>
        </w:rPr>
        <w:t>；</w:t>
      </w:r>
    </w:p>
    <w:p w14:paraId="6D07CCE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2.8设备质量承诺函（附件7）；</w:t>
      </w:r>
    </w:p>
    <w:p w14:paraId="4E5C60B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2.9投标人需提交的其它资料。</w:t>
      </w:r>
    </w:p>
    <w:p w14:paraId="61B69A10">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14:paraId="333C6CF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4335B79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14:paraId="5C8CCE4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2" w:name="OLE_LINK19"/>
      <w:bookmarkStart w:id="33" w:name="OLE_LINK18"/>
      <w:r>
        <w:rPr>
          <w:rFonts w:hint="eastAsia" w:ascii="宋体" w:hAnsi="宋体" w:eastAsia="宋体" w:cs="宋体"/>
          <w:b/>
          <w:color w:val="000000"/>
          <w:sz w:val="24"/>
          <w:szCs w:val="24"/>
        </w:rPr>
        <w:t>；</w:t>
      </w:r>
      <w:bookmarkEnd w:id="32"/>
      <w:bookmarkEnd w:id="33"/>
      <w:r>
        <w:rPr>
          <w:rFonts w:hint="eastAsia" w:ascii="宋体" w:hAnsi="宋体" w:eastAsia="宋体" w:cs="宋体"/>
          <w:color w:val="000000"/>
          <w:sz w:val="24"/>
          <w:szCs w:val="24"/>
        </w:rPr>
        <w:t xml:space="preserve"> </w:t>
      </w:r>
    </w:p>
    <w:p w14:paraId="7B7C2E55">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14:paraId="4E201B44">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14:paraId="43663D9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034D064B">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四、投标文件格式</w:t>
      </w:r>
    </w:p>
    <w:p w14:paraId="4D47EC3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14:paraId="1468C273">
      <w:pPr>
        <w:pStyle w:val="16"/>
        <w:jc w:val="center"/>
        <w:rPr>
          <w:rFonts w:ascii="Calibri" w:hAnsi="Calibri" w:eastAsia="宋体" w:cs="Times New Roman"/>
          <w:b/>
          <w:bCs/>
          <w:kern w:val="44"/>
          <w:sz w:val="36"/>
          <w:szCs w:val="44"/>
        </w:rPr>
        <w:sectPr>
          <w:pgSz w:w="11907" w:h="16840"/>
          <w:pgMar w:top="1304" w:right="1418" w:bottom="1304" w:left="1418" w:header="724" w:footer="851" w:gutter="0"/>
          <w:pgBorders>
            <w:top w:val="none" w:sz="0" w:space="0"/>
            <w:left w:val="none" w:sz="0" w:space="0"/>
            <w:bottom w:val="none" w:sz="0" w:space="0"/>
            <w:right w:val="none" w:sz="0" w:space="0"/>
          </w:pgBorders>
          <w:cols w:space="720" w:num="1"/>
          <w:docGrid w:linePitch="290" w:charSpace="-3931"/>
        </w:sectPr>
      </w:pPr>
    </w:p>
    <w:bookmarkEnd w:id="0"/>
    <w:bookmarkEnd w:id="1"/>
    <w:p w14:paraId="2B2CB28D">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第四部分 技术标书</w:t>
      </w:r>
    </w:p>
    <w:p w14:paraId="6D3643B5">
      <w:pPr>
        <w:pStyle w:val="16"/>
      </w:pPr>
    </w:p>
    <w:p w14:paraId="2B1765AA">
      <w:pPr>
        <w:spacing w:line="276" w:lineRule="auto"/>
        <w:jc w:val="center"/>
        <w:rPr>
          <w:rFonts w:hint="eastAsia" w:ascii="Calibri" w:hAnsi="宋体" w:eastAsia="宋体" w:cs="Times New Roman"/>
          <w:b/>
          <w:bCs/>
          <w:color w:val="000000"/>
          <w:spacing w:val="-8"/>
          <w:sz w:val="48"/>
          <w:szCs w:val="44"/>
          <w:lang w:eastAsia="zh-CN"/>
        </w:rPr>
      </w:pPr>
      <w:r>
        <w:rPr>
          <w:rFonts w:hint="eastAsia" w:ascii="Calibri" w:hAnsi="宋体" w:eastAsia="宋体" w:cs="Times New Roman"/>
          <w:b/>
          <w:bCs/>
          <w:color w:val="000000"/>
          <w:spacing w:val="-8"/>
          <w:sz w:val="48"/>
          <w:szCs w:val="44"/>
          <w:lang w:eastAsia="zh-CN"/>
        </w:rPr>
        <w:t>济南车桥公司</w:t>
      </w:r>
    </w:p>
    <w:p w14:paraId="722A9B4D">
      <w:pPr>
        <w:jc w:val="center"/>
        <w:rPr>
          <w:rFonts w:ascii="Calibri" w:hAnsi="Calibri" w:eastAsia="宋体" w:cs="Times New Roman"/>
          <w:color w:val="000000"/>
          <w:sz w:val="28"/>
          <w:szCs w:val="28"/>
        </w:rPr>
      </w:pPr>
      <w:r>
        <w:rPr>
          <w:rFonts w:hint="eastAsia" w:ascii="Calibri" w:hAnsi="宋体" w:eastAsia="宋体" w:cs="Times New Roman"/>
          <w:b/>
          <w:bCs/>
          <w:color w:val="000000"/>
          <w:spacing w:val="-8"/>
          <w:sz w:val="48"/>
          <w:szCs w:val="44"/>
          <w:lang w:eastAsia="zh-CN"/>
        </w:rPr>
        <w:t>桥壳加工线起重设备改造技改项目</w:t>
      </w:r>
    </w:p>
    <w:p w14:paraId="55856B63">
      <w:pPr>
        <w:pStyle w:val="16"/>
      </w:pPr>
    </w:p>
    <w:p w14:paraId="0375A504">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14:paraId="240240B0">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14:paraId="63EE4F24">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0252C066">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14:paraId="6118056E">
      <w:pPr>
        <w:pStyle w:val="16"/>
      </w:pPr>
    </w:p>
    <w:p w14:paraId="2037CC54">
      <w:pPr>
        <w:pStyle w:val="16"/>
        <w:rPr>
          <w:rFonts w:ascii="黑体" w:hAnsi="宋体" w:eastAsia="黑体" w:cs="Times New Roman"/>
          <w:color w:val="000000"/>
          <w:sz w:val="72"/>
          <w:szCs w:val="72"/>
        </w:rPr>
      </w:pPr>
    </w:p>
    <w:p w14:paraId="6C597CE0">
      <w:pPr>
        <w:pStyle w:val="16"/>
        <w:rPr>
          <w:rFonts w:ascii="黑体" w:hAnsi="宋体" w:eastAsia="黑体" w:cs="Times New Roman"/>
          <w:color w:val="000000"/>
          <w:sz w:val="72"/>
          <w:szCs w:val="72"/>
        </w:rPr>
      </w:pPr>
    </w:p>
    <w:p w14:paraId="19A2D575">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14:paraId="429563B3">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14:paraId="53E50B7E">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14:paraId="201C0182">
      <w:pPr>
        <w:pStyle w:val="16"/>
        <w:rPr>
          <w:b/>
          <w:bCs/>
        </w:rPr>
      </w:pPr>
    </w:p>
    <w:p w14:paraId="5B700D1F">
      <w:pPr>
        <w:jc w:val="center"/>
        <w:rPr>
          <w:rFonts w:hint="eastAsia" w:ascii="宋体" w:hAnsi="宋体" w:eastAsia="宋体" w:cs="Times New Roman"/>
          <w:color w:val="FF0000"/>
          <w:sz w:val="28"/>
          <w:szCs w:val="28"/>
          <w:lang w:eastAsia="zh-CN"/>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w:t>
      </w:r>
      <w:r>
        <w:rPr>
          <w:rFonts w:hint="eastAsia" w:ascii="宋体" w:hAnsi="宋体" w:eastAsia="宋体" w:cs="Times New Roman"/>
          <w:sz w:val="28"/>
          <w:szCs w:val="28"/>
          <w:lang w:eastAsia="zh-CN"/>
        </w:rPr>
        <w:t>重汽（济南）车桥有限公司</w:t>
      </w:r>
    </w:p>
    <w:p w14:paraId="5D7C5A9F">
      <w:pPr>
        <w:pStyle w:val="2"/>
      </w:pPr>
    </w:p>
    <w:p w14:paraId="0C3026EF">
      <w:pPr>
        <w:jc w:val="center"/>
        <w:rPr>
          <w:rFonts w:hint="eastAsia" w:ascii="Calibri" w:hAnsi="Calibri" w:eastAsia="宋体" w:cs="Times New Roman"/>
          <w:b/>
          <w:bCs/>
          <w:kern w:val="44"/>
          <w:sz w:val="36"/>
          <w:szCs w:val="44"/>
          <w:lang w:eastAsia="zh-CN"/>
        </w:rPr>
      </w:pPr>
      <w:r>
        <w:rPr>
          <w:rFonts w:hint="eastAsia" w:ascii="Calibri" w:hAnsi="Calibri" w:eastAsia="宋体" w:cs="Times New Roman"/>
          <w:color w:val="000000"/>
          <w:sz w:val="28"/>
          <w:szCs w:val="28"/>
          <w:lang w:eastAsia="zh-CN"/>
        </w:rPr>
        <w:t>2025年</w:t>
      </w:r>
      <w:r>
        <w:rPr>
          <w:rFonts w:hint="eastAsia" w:ascii="Calibri" w:hAnsi="Calibri" w:eastAsia="宋体" w:cs="Times New Roman"/>
          <w:color w:val="000000"/>
          <w:sz w:val="28"/>
          <w:szCs w:val="28"/>
          <w:lang w:val="en-US" w:eastAsia="zh-CN"/>
        </w:rPr>
        <w:t>11</w:t>
      </w:r>
      <w:r>
        <w:rPr>
          <w:rFonts w:hint="eastAsia" w:ascii="Calibri" w:hAnsi="Calibri" w:eastAsia="宋体" w:cs="Times New Roman"/>
          <w:color w:val="000000"/>
          <w:sz w:val="28"/>
          <w:szCs w:val="28"/>
          <w:lang w:eastAsia="zh-CN"/>
        </w:rPr>
        <w:t>月</w:t>
      </w:r>
    </w:p>
    <w:p w14:paraId="6E885E14">
      <w:pPr>
        <w:spacing w:line="360" w:lineRule="auto"/>
        <w:rPr>
          <w:rFonts w:ascii="宋体" w:hAnsi="宋体" w:eastAsia="宋体" w:cs="Times New Roman"/>
          <w:b/>
          <w:sz w:val="36"/>
          <w:szCs w:val="36"/>
        </w:rPr>
      </w:pPr>
    </w:p>
    <w:p w14:paraId="58552395">
      <w:pPr>
        <w:pStyle w:val="2"/>
        <w:sectPr>
          <w:headerReference r:id="rId10" w:type="default"/>
          <w:footerReference r:id="rId11" w:type="default"/>
          <w:pgSz w:w="11907" w:h="16840"/>
          <w:pgMar w:top="1304" w:right="1418" w:bottom="1304" w:left="1418" w:header="724" w:footer="851" w:gutter="0"/>
          <w:pgBorders>
            <w:top w:val="none" w:sz="0" w:space="0"/>
            <w:left w:val="none" w:sz="0" w:space="0"/>
            <w:bottom w:val="none" w:sz="0" w:space="0"/>
            <w:right w:val="none" w:sz="0" w:space="0"/>
          </w:pgBorders>
          <w:pgNumType w:start="1"/>
          <w:cols w:space="720" w:num="1"/>
          <w:docGrid w:linePitch="290" w:charSpace="-3931"/>
        </w:sectPr>
      </w:pPr>
    </w:p>
    <w:p w14:paraId="6A16CA2D">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34" w:name="_Toc31266"/>
      <w:r>
        <w:rPr>
          <w:rFonts w:hint="eastAsia" w:ascii="仿宋" w:hAnsi="仿宋" w:eastAsia="仿宋" w:cs="仿宋"/>
          <w:b/>
          <w:bCs/>
          <w:color w:val="000000" w:themeColor="text1"/>
          <w:lang w:val="en-US" w:eastAsia="zh-CN"/>
          <w14:textFill>
            <w14:solidFill>
              <w14:schemeClr w14:val="tx1"/>
            </w14:solidFill>
          </w14:textFill>
        </w:rPr>
        <w:t>第</w:t>
      </w:r>
      <w:r>
        <w:rPr>
          <w:rFonts w:hint="eastAsia" w:ascii="仿宋" w:hAnsi="仿宋" w:eastAsia="仿宋" w:cs="仿宋"/>
          <w:b/>
          <w:bCs/>
          <w:color w:val="000000" w:themeColor="text1"/>
          <w14:textFill>
            <w14:solidFill>
              <w14:schemeClr w14:val="tx1"/>
            </w14:solidFill>
          </w14:textFill>
        </w:rPr>
        <w:t>一章采购货物概况</w:t>
      </w:r>
      <w:bookmarkEnd w:id="34"/>
      <w:bookmarkStart w:id="35" w:name="_Toc133783967"/>
    </w:p>
    <w:p w14:paraId="69B8AE13">
      <w:pPr>
        <w:adjustRightInd w:val="0"/>
        <w:snapToGrid w:val="0"/>
        <w:spacing w:line="360" w:lineRule="auto"/>
        <w:jc w:val="center"/>
        <w:outlineLvl w:val="1"/>
        <w:rPr>
          <w:rFonts w:ascii="仿宋" w:hAnsi="仿宋" w:eastAsia="仿宋" w:cs="仿宋"/>
          <w:b/>
          <w:bCs/>
          <w:color w:val="000000" w:themeColor="text1"/>
          <w14:textFill>
            <w14:solidFill>
              <w14:schemeClr w14:val="tx1"/>
            </w14:solidFill>
          </w14:textFill>
        </w:rPr>
      </w:pPr>
      <w:bookmarkStart w:id="36" w:name="_Toc864"/>
      <w:bookmarkStart w:id="37" w:name="_Toc11411"/>
      <w:bookmarkStart w:id="38" w:name="_Toc29605"/>
      <w:bookmarkStart w:id="39" w:name="_Toc5172"/>
      <w:bookmarkStart w:id="40" w:name="_Toc5420"/>
      <w:bookmarkStart w:id="41" w:name="_Toc6498"/>
      <w:bookmarkStart w:id="42" w:name="_Toc30808"/>
      <w:bookmarkStart w:id="43" w:name="_Toc24689"/>
      <w:bookmarkStart w:id="44" w:name="_Toc22424"/>
      <w:bookmarkStart w:id="45" w:name="_Toc7333"/>
      <w:bookmarkStart w:id="46" w:name="_Toc2940"/>
      <w:bookmarkStart w:id="47" w:name="_Toc7159"/>
      <w:bookmarkStart w:id="48" w:name="_Toc29927"/>
      <w:bookmarkStart w:id="49" w:name="_Toc21756"/>
      <w:bookmarkStart w:id="50" w:name="_Toc21892"/>
      <w:bookmarkStart w:id="51" w:name="_Toc5400"/>
      <w:bookmarkStart w:id="52" w:name="_Toc22942"/>
      <w:bookmarkStart w:id="53" w:name="_Toc23180"/>
      <w:bookmarkStart w:id="54" w:name="_Toc892"/>
      <w:bookmarkStart w:id="55" w:name="_Toc8362"/>
      <w:bookmarkStart w:id="56" w:name="_Toc25011"/>
      <w:bookmarkStart w:id="57" w:name="_Toc6606"/>
      <w:bookmarkStart w:id="58" w:name="_Toc6436"/>
      <w:bookmarkStart w:id="59" w:name="_Toc28361"/>
      <w:bookmarkStart w:id="60" w:name="_Toc11763"/>
      <w:bookmarkStart w:id="61" w:name="_Toc31000"/>
      <w:bookmarkStart w:id="62" w:name="_Toc2996"/>
      <w:bookmarkStart w:id="63" w:name="_Toc73112397"/>
      <w:bookmarkStart w:id="64" w:name="_Toc2554"/>
      <w:bookmarkStart w:id="65" w:name="_Toc19070"/>
      <w:bookmarkStart w:id="66" w:name="_Toc30245"/>
      <w:bookmarkStart w:id="67" w:name="_Toc17474"/>
      <w:bookmarkStart w:id="68" w:name="_Toc10612"/>
      <w:bookmarkStart w:id="69" w:name="_Toc27040"/>
      <w:bookmarkStart w:id="70" w:name="_Toc5826"/>
      <w:bookmarkStart w:id="71" w:name="_Toc16714"/>
      <w:bookmarkStart w:id="72" w:name="_Toc5609"/>
      <w:bookmarkStart w:id="73" w:name="_Toc7515"/>
      <w:bookmarkStart w:id="74" w:name="_Toc2152"/>
      <w:bookmarkStart w:id="75" w:name="_Toc27214"/>
      <w:bookmarkStart w:id="76" w:name="_Toc29157"/>
      <w:bookmarkStart w:id="77" w:name="_Toc4004"/>
      <w:bookmarkStart w:id="78" w:name="_Toc30246"/>
      <w:bookmarkStart w:id="79" w:name="_Toc9983"/>
      <w:bookmarkStart w:id="80" w:name="_Toc5983"/>
      <w:r>
        <w:rPr>
          <w:rFonts w:hint="eastAsia" w:ascii="仿宋" w:hAnsi="仿宋" w:eastAsia="仿宋" w:cs="仿宋"/>
          <w:b/>
          <w:bCs/>
          <w:color w:val="000000" w:themeColor="text1"/>
          <w14:textFill>
            <w14:solidFill>
              <w14:schemeClr w14:val="tx1"/>
            </w14:solidFill>
          </w14:textFill>
        </w:rPr>
        <w:t>第一节使用环境</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p>
    <w:p w14:paraId="25D87271">
      <w:pPr>
        <w:pStyle w:val="19"/>
        <w:tabs>
          <w:tab w:val="left" w:pos="0"/>
        </w:tabs>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1项目名称：</w:t>
      </w:r>
      <w:r>
        <w:rPr>
          <w:rFonts w:hint="eastAsia" w:ascii="仿宋" w:hAnsi="仿宋" w:eastAsia="仿宋" w:cs="仿宋"/>
          <w:color w:val="000000" w:themeColor="text1"/>
          <w:shd w:val="pct10" w:color="auto" w:fill="FFFFFF"/>
          <w14:textFill>
            <w14:solidFill>
              <w14:schemeClr w14:val="tx1"/>
            </w14:solidFill>
          </w14:textFill>
        </w:rPr>
        <w:t>桥壳加工线起重设备改造技改项目</w:t>
      </w:r>
    </w:p>
    <w:p w14:paraId="1F1BE1F0">
      <w:pPr>
        <w:pStyle w:val="19"/>
        <w:snapToGrid w:val="0"/>
        <w:spacing w:line="360" w:lineRule="auto"/>
        <w:ind w:firstLine="420" w:firstLineChars="200"/>
        <w:rPr>
          <w:rFonts w:ascii="仿宋" w:hAnsi="仿宋" w:eastAsia="仿宋" w:cs="仿宋"/>
          <w:color w:val="000000" w:themeColor="text1"/>
          <w:shd w:val="pct10" w:color="auto" w:fill="FFFFFF"/>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2建设地点：</w:t>
      </w:r>
      <w:r>
        <w:rPr>
          <w:rFonts w:hint="eastAsia" w:ascii="仿宋" w:hAnsi="仿宋" w:eastAsia="仿宋" w:cs="仿宋"/>
          <w:color w:val="000000" w:themeColor="text1"/>
          <w:shd w:val="pct10" w:color="auto" w:fill="FFFFFF"/>
          <w14:textFill>
            <w14:solidFill>
              <w14:schemeClr w14:val="tx1"/>
            </w14:solidFill>
          </w14:textFill>
        </w:rPr>
        <w:t>重汽(济南)车桥有限公司</w:t>
      </w:r>
      <w:r>
        <w:rPr>
          <w:rFonts w:hint="eastAsia" w:ascii="仿宋" w:hAnsi="仿宋" w:eastAsia="仿宋" w:cs="仿宋"/>
          <w:color w:val="000000" w:themeColor="text1"/>
          <w14:textFill>
            <w14:solidFill>
              <w14:schemeClr w14:val="tx1"/>
            </w14:solidFill>
          </w14:textFill>
        </w:rPr>
        <w:t>（工地）</w:t>
      </w:r>
    </w:p>
    <w:p w14:paraId="4FB7EC8C">
      <w:pPr>
        <w:pStyle w:val="19"/>
        <w:snapToGrid w:val="0"/>
        <w:spacing w:line="360" w:lineRule="auto"/>
        <w:ind w:firstLine="420" w:firstLineChars="200"/>
        <w:rPr>
          <w:rFonts w:ascii="仿宋" w:hAnsi="仿宋" w:eastAsia="仿宋" w:cs="仿宋"/>
          <w:color w:val="000000" w:themeColor="text1"/>
          <w:shd w:val="pct10" w:color="auto" w:fill="FFFFFF"/>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3使用地点：</w:t>
      </w:r>
      <w:r>
        <w:rPr>
          <w:rFonts w:hint="eastAsia" w:ascii="仿宋" w:hAnsi="仿宋" w:eastAsia="仿宋" w:cs="仿宋"/>
          <w:color w:val="000000" w:themeColor="text1"/>
          <w:shd w:val="pct10" w:color="auto" w:fill="FFFFFF"/>
          <w14:textFill>
            <w14:solidFill>
              <w14:schemeClr w14:val="tx1"/>
            </w14:solidFill>
          </w14:textFill>
        </w:rPr>
        <w:t>车桥公司桥壳</w:t>
      </w:r>
      <w:r>
        <w:rPr>
          <w:rFonts w:hint="eastAsia" w:ascii="仿宋" w:hAnsi="仿宋" w:eastAsia="仿宋" w:cs="仿宋"/>
          <w:color w:val="000000" w:themeColor="text1"/>
          <w:shd w:val="pct10" w:color="auto" w:fill="FFFFFF"/>
          <w:lang w:val="en-US" w:eastAsia="zh-CN"/>
          <w14:textFill>
            <w14:solidFill>
              <w14:schemeClr w14:val="tx1"/>
            </w14:solidFill>
          </w14:textFill>
        </w:rPr>
        <w:t>加工一部</w:t>
      </w:r>
      <w:r>
        <w:rPr>
          <w:rFonts w:hint="eastAsia" w:ascii="仿宋" w:hAnsi="仿宋" w:eastAsia="仿宋" w:cs="仿宋"/>
          <w:color w:val="000000" w:themeColor="text1"/>
          <w14:textFill>
            <w14:solidFill>
              <w14:schemeClr w14:val="tx1"/>
            </w14:solidFill>
          </w14:textFill>
        </w:rPr>
        <w:t>（室内）</w:t>
      </w:r>
    </w:p>
    <w:p w14:paraId="5AE770B1">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4工作制度：全年工作</w:t>
      </w:r>
      <w:r>
        <w:rPr>
          <w:rFonts w:hint="eastAsia" w:ascii="仿宋" w:hAnsi="仿宋" w:eastAsia="仿宋" w:cs="仿宋"/>
          <w:color w:val="000000" w:themeColor="text1"/>
          <w:shd w:val="pct10" w:color="auto" w:fill="FFFFFF"/>
          <w14:textFill>
            <w14:solidFill>
              <w14:schemeClr w14:val="tx1"/>
            </w14:solidFill>
          </w14:textFill>
        </w:rPr>
        <w:t>300</w:t>
      </w:r>
      <w:r>
        <w:rPr>
          <w:rFonts w:hint="eastAsia" w:ascii="仿宋" w:hAnsi="仿宋" w:eastAsia="仿宋" w:cs="仿宋"/>
          <w:color w:val="000000" w:themeColor="text1"/>
          <w14:textFill>
            <w14:solidFill>
              <w14:schemeClr w14:val="tx1"/>
            </w14:solidFill>
          </w14:textFill>
        </w:rPr>
        <w:t>天、</w:t>
      </w:r>
      <w:r>
        <w:rPr>
          <w:rFonts w:hint="eastAsia" w:ascii="仿宋" w:hAnsi="仿宋" w:eastAsia="仿宋" w:cs="仿宋"/>
          <w:color w:val="000000" w:themeColor="text1"/>
          <w:shd w:val="pct10" w:color="auto" w:fill="FFFFFF"/>
          <w14:textFill>
            <w14:solidFill>
              <w14:schemeClr w14:val="tx1"/>
            </w14:solidFill>
          </w14:textFill>
        </w:rPr>
        <w:t>3</w:t>
      </w:r>
      <w:r>
        <w:rPr>
          <w:rFonts w:hint="eastAsia" w:ascii="仿宋" w:hAnsi="仿宋" w:eastAsia="仿宋" w:cs="仿宋"/>
          <w:color w:val="000000" w:themeColor="text1"/>
          <w14:textFill>
            <w14:solidFill>
              <w14:schemeClr w14:val="tx1"/>
            </w14:solidFill>
          </w14:textFill>
        </w:rPr>
        <w:t xml:space="preserve">班制、设备年时基数 </w:t>
      </w:r>
      <w:r>
        <w:rPr>
          <w:rFonts w:hint="eastAsia" w:ascii="仿宋" w:hAnsi="仿宋" w:eastAsia="仿宋" w:cs="仿宋"/>
          <w:color w:val="000000" w:themeColor="text1"/>
          <w:shd w:val="pct10" w:color="auto" w:fill="FFFFFF"/>
          <w14:textFill>
            <w14:solidFill>
              <w14:schemeClr w14:val="tx1"/>
            </w14:solidFill>
          </w14:textFill>
        </w:rPr>
        <w:t>7200</w:t>
      </w:r>
      <w:r>
        <w:rPr>
          <w:rFonts w:hint="eastAsia" w:ascii="仿宋" w:hAnsi="仿宋" w:eastAsia="仿宋" w:cs="仿宋"/>
          <w:color w:val="000000" w:themeColor="text1"/>
          <w14:textFill>
            <w14:solidFill>
              <w14:schemeClr w14:val="tx1"/>
            </w14:solidFill>
          </w14:textFill>
        </w:rPr>
        <w:t xml:space="preserve"> 小时</w:t>
      </w:r>
    </w:p>
    <w:p w14:paraId="375D3837">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5使用地点区域自然环境：</w:t>
      </w:r>
    </w:p>
    <w:p w14:paraId="74C135E3">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5.1海拨高度：1000m以下。</w:t>
      </w:r>
    </w:p>
    <w:p w14:paraId="11F1D631">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5.2环境温度：室外极端最低温度-19.7℃、极端最高温度42℃，昼夜最大温差25℃；室内温度5～40℃。</w:t>
      </w:r>
    </w:p>
    <w:p w14:paraId="662C1681">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5.3相对湿度：年平均59%，最大95%、最小15%。</w:t>
      </w:r>
    </w:p>
    <w:p w14:paraId="39BB3DC5">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5.4 地震裂度：七度。</w:t>
      </w:r>
    </w:p>
    <w:p w14:paraId="6B8622CC">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6能源环境：</w:t>
      </w:r>
    </w:p>
    <w:p w14:paraId="69B06E78">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6.1电力：中国制式，供电电压</w:t>
      </w:r>
      <w:r>
        <w:rPr>
          <w:rFonts w:hint="eastAsia" w:ascii="仿宋" w:hAnsi="仿宋" w:eastAsia="仿宋" w:cs="仿宋"/>
          <w:color w:val="000000" w:themeColor="text1"/>
          <w:u w:val="single"/>
          <w:shd w:val="pct10" w:color="auto" w:fill="FFFFFF"/>
          <w14:textFill>
            <w14:solidFill>
              <w14:schemeClr w14:val="tx1"/>
            </w14:solidFill>
          </w14:textFill>
        </w:rPr>
        <w:t>380V±15%/220V±15%</w:t>
      </w:r>
      <w:r>
        <w:rPr>
          <w:rFonts w:hint="eastAsia" w:ascii="仿宋" w:hAnsi="仿宋" w:eastAsia="仿宋" w:cs="仿宋"/>
          <w:color w:val="000000" w:themeColor="text1"/>
          <w14:textFill>
            <w14:solidFill>
              <w14:schemeClr w14:val="tx1"/>
            </w14:solidFill>
          </w14:textFill>
        </w:rPr>
        <w:t>，供电频率50Hz±2%。</w:t>
      </w:r>
    </w:p>
    <w:p w14:paraId="2B2B98A2">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 xml:space="preserve">6.2 </w:t>
      </w:r>
      <w:r>
        <w:rPr>
          <w:rFonts w:hint="eastAsia" w:ascii="仿宋" w:hAnsi="仿宋" w:eastAsia="仿宋" w:cs="仿宋"/>
          <w:color w:val="000000" w:themeColor="text1"/>
          <w:kern w:val="0"/>
          <w14:textFill>
            <w14:solidFill>
              <w14:schemeClr w14:val="tx1"/>
            </w14:solidFill>
          </w14:textFill>
        </w:rPr>
        <w:t>给水：市政自来水</w:t>
      </w:r>
    </w:p>
    <w:p w14:paraId="2946B307">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6.3压缩空气：自备空压机自产压缩空气，压力范围</w:t>
      </w:r>
      <w:r>
        <w:rPr>
          <w:rFonts w:hint="eastAsia" w:ascii="仿宋" w:hAnsi="仿宋" w:eastAsia="仿宋" w:cs="仿宋"/>
          <w:color w:val="000000" w:themeColor="text1"/>
          <w:u w:val="single"/>
          <w:shd w:val="pct10" w:color="auto" w:fill="FFFFFF"/>
          <w14:textFill>
            <w14:solidFill>
              <w14:schemeClr w14:val="tx1"/>
            </w14:solidFill>
          </w14:textFill>
        </w:rPr>
        <w:t>0.5 ±0.1MPa</w:t>
      </w:r>
      <w:r>
        <w:rPr>
          <w:rFonts w:hint="eastAsia" w:ascii="仿宋" w:hAnsi="仿宋" w:eastAsia="仿宋" w:cs="仿宋"/>
          <w:color w:val="000000" w:themeColor="text1"/>
          <w14:textFill>
            <w14:solidFill>
              <w14:schemeClr w14:val="tx1"/>
            </w14:solidFill>
          </w14:textFill>
        </w:rPr>
        <w:t>。</w:t>
      </w:r>
      <w:bookmarkStart w:id="81" w:name="_Toc24481"/>
      <w:bookmarkStart w:id="82" w:name="_Toc21616"/>
      <w:bookmarkStart w:id="83" w:name="_Toc24563"/>
      <w:bookmarkStart w:id="84" w:name="_Toc9143"/>
      <w:bookmarkStart w:id="85" w:name="_Toc11744"/>
      <w:bookmarkStart w:id="86" w:name="_Toc8740"/>
      <w:bookmarkStart w:id="87" w:name="_Toc9671"/>
      <w:bookmarkStart w:id="88" w:name="_Toc5282"/>
      <w:bookmarkStart w:id="89" w:name="_Toc17605"/>
      <w:bookmarkStart w:id="90" w:name="_Toc8728"/>
      <w:bookmarkStart w:id="91" w:name="_Toc29333"/>
      <w:bookmarkStart w:id="92" w:name="_Toc30431"/>
      <w:bookmarkStart w:id="93" w:name="_Toc22983"/>
      <w:bookmarkStart w:id="94" w:name="_Toc12401"/>
      <w:bookmarkStart w:id="95" w:name="_Toc133783968"/>
      <w:bookmarkStart w:id="96" w:name="_Toc5374"/>
      <w:bookmarkStart w:id="97" w:name="_Toc31241"/>
      <w:bookmarkStart w:id="98" w:name="_Toc17543"/>
      <w:bookmarkStart w:id="99" w:name="_Toc429"/>
      <w:bookmarkStart w:id="100" w:name="_Toc6636"/>
      <w:bookmarkStart w:id="101" w:name="_Toc13324"/>
      <w:bookmarkStart w:id="102" w:name="_Toc27857"/>
      <w:bookmarkStart w:id="103" w:name="_Toc9784"/>
      <w:bookmarkStart w:id="104" w:name="_Toc27449"/>
      <w:bookmarkStart w:id="105" w:name="_Toc5421"/>
      <w:bookmarkStart w:id="106" w:name="_Toc15369"/>
      <w:bookmarkStart w:id="107" w:name="_Toc17682"/>
      <w:bookmarkStart w:id="108" w:name="_Toc9561"/>
      <w:bookmarkStart w:id="109" w:name="_Toc4175"/>
      <w:bookmarkStart w:id="110" w:name="_Toc18569"/>
      <w:bookmarkStart w:id="111" w:name="_Toc23473"/>
      <w:bookmarkStart w:id="112" w:name="_Toc6433"/>
      <w:bookmarkStart w:id="113" w:name="_Toc29019"/>
    </w:p>
    <w:p w14:paraId="196F6FFD">
      <w:pPr>
        <w:adjustRightInd w:val="0"/>
        <w:snapToGrid w:val="0"/>
        <w:spacing w:line="360" w:lineRule="auto"/>
        <w:jc w:val="center"/>
        <w:outlineLvl w:val="1"/>
        <w:rPr>
          <w:rFonts w:ascii="仿宋" w:hAnsi="仿宋" w:eastAsia="仿宋" w:cs="仿宋"/>
          <w:color w:val="000000" w:themeColor="text1"/>
          <w14:textFill>
            <w14:solidFill>
              <w14:schemeClr w14:val="tx1"/>
            </w14:solidFill>
          </w14:textFill>
        </w:rPr>
      </w:pPr>
      <w:bookmarkStart w:id="114" w:name="_Toc32599"/>
      <w:bookmarkStart w:id="115" w:name="_Toc18778"/>
      <w:bookmarkStart w:id="116" w:name="_Toc24559"/>
      <w:bookmarkStart w:id="117" w:name="_Toc21957"/>
      <w:bookmarkStart w:id="118" w:name="_Toc21130"/>
      <w:bookmarkStart w:id="119" w:name="_Toc29190"/>
      <w:bookmarkStart w:id="120" w:name="_Toc13544"/>
      <w:bookmarkStart w:id="121" w:name="_Toc21302"/>
      <w:bookmarkStart w:id="122" w:name="_Toc8560"/>
      <w:bookmarkStart w:id="123" w:name="_Toc1424"/>
      <w:bookmarkStart w:id="124" w:name="_Toc17750"/>
      <w:bookmarkStart w:id="125" w:name="_Toc73112398"/>
      <w:bookmarkStart w:id="126" w:name="_Toc10013"/>
      <w:bookmarkStart w:id="127" w:name="_Toc18032"/>
      <w:bookmarkStart w:id="128" w:name="_Toc20734"/>
      <w:bookmarkStart w:id="129" w:name="_Toc1523"/>
      <w:bookmarkStart w:id="130" w:name="_Toc24624"/>
      <w:r>
        <w:rPr>
          <w:rFonts w:hint="eastAsia" w:ascii="仿宋" w:hAnsi="仿宋" w:eastAsia="仿宋" w:cs="仿宋"/>
          <w:b/>
          <w:bCs/>
          <w:color w:val="000000" w:themeColor="text1"/>
          <w14:textFill>
            <w14:solidFill>
              <w14:schemeClr w14:val="tx1"/>
            </w14:solidFill>
          </w14:textFill>
        </w:rPr>
        <w:t>第二节采购货物概况</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p w14:paraId="7F6F54AF">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1货物：</w:t>
      </w:r>
      <w:r>
        <w:rPr>
          <w:rFonts w:hint="eastAsia" w:ascii="仿宋" w:hAnsi="仿宋" w:eastAsia="仿宋" w:cs="仿宋"/>
          <w:color w:val="auto"/>
          <w:highlight w:val="none"/>
          <w:u w:val="single"/>
          <w:lang w:val="en-US" w:eastAsia="zh-CN"/>
        </w:rPr>
        <w:t>柔性吊</w:t>
      </w:r>
      <w:r>
        <w:rPr>
          <w:rFonts w:hint="eastAsia" w:ascii="仿宋" w:hAnsi="仿宋" w:eastAsia="仿宋" w:cs="仿宋"/>
          <w:color w:val="000000" w:themeColor="text1"/>
          <w14:textFill>
            <w14:solidFill>
              <w14:schemeClr w14:val="tx1"/>
            </w14:solidFill>
          </w14:textFill>
        </w:rPr>
        <w:t>（详见下表）</w:t>
      </w:r>
    </w:p>
    <w:p w14:paraId="3A24F44D">
      <w:pPr>
        <w:pStyle w:val="19"/>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2货物数量：</w:t>
      </w:r>
      <w:r>
        <w:rPr>
          <w:rFonts w:hint="eastAsia" w:ascii="仿宋" w:hAnsi="仿宋" w:eastAsia="仿宋" w:cs="仿宋"/>
          <w:color w:val="auto"/>
          <w:highlight w:val="none"/>
          <w:u w:val="single"/>
          <w:lang w:val="en-US" w:eastAsia="zh-CN"/>
        </w:rPr>
        <w:t>45套</w:t>
      </w:r>
      <w:r>
        <w:rPr>
          <w:rFonts w:hint="eastAsia" w:ascii="仿宋" w:hAnsi="仿宋" w:eastAsia="仿宋" w:cs="仿宋"/>
          <w:color w:val="auto"/>
          <w:highlight w:val="none"/>
        </w:rPr>
        <w:t>（详见下表）</w:t>
      </w:r>
    </w:p>
    <w:p w14:paraId="2AAEECF1">
      <w:pPr>
        <w:pStyle w:val="19"/>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采购货物主要构成一览表</w:t>
      </w:r>
    </w:p>
    <w:tbl>
      <w:tblPr>
        <w:tblStyle w:val="36"/>
        <w:tblW w:w="74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9"/>
        <w:gridCol w:w="1241"/>
        <w:gridCol w:w="1340"/>
        <w:gridCol w:w="662"/>
        <w:gridCol w:w="723"/>
        <w:gridCol w:w="1652"/>
        <w:gridCol w:w="1042"/>
      </w:tblGrid>
      <w:tr w14:paraId="7CAB9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69" w:type="dxa"/>
            <w:shd w:val="clear" w:color="auto" w:fill="auto"/>
            <w:vAlign w:val="center"/>
          </w:tcPr>
          <w:p w14:paraId="06D051D8">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sz w:val="21"/>
                <w:szCs w:val="21"/>
                <w:highlight w:val="none"/>
              </w:rPr>
            </w:pPr>
            <w:r>
              <w:rPr>
                <w:rFonts w:hint="eastAsia" w:ascii="仿宋" w:hAnsi="仿宋" w:eastAsia="仿宋" w:cs="仿宋"/>
                <w:color w:val="auto"/>
                <w:kern w:val="2"/>
                <w:sz w:val="21"/>
                <w:szCs w:val="21"/>
                <w:highlight w:val="none"/>
              </w:rPr>
              <w:t>序号</w:t>
            </w:r>
          </w:p>
        </w:tc>
        <w:tc>
          <w:tcPr>
            <w:tcW w:w="1241" w:type="dxa"/>
            <w:shd w:val="clear" w:color="auto" w:fill="auto"/>
            <w:vAlign w:val="center"/>
          </w:tcPr>
          <w:p w14:paraId="70698C0E">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货物名称</w:t>
            </w:r>
          </w:p>
        </w:tc>
        <w:tc>
          <w:tcPr>
            <w:tcW w:w="1340" w:type="dxa"/>
            <w:shd w:val="clear" w:color="auto" w:fill="auto"/>
            <w:vAlign w:val="center"/>
          </w:tcPr>
          <w:p w14:paraId="7D7F9CDB">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型号规格</w:t>
            </w:r>
          </w:p>
        </w:tc>
        <w:tc>
          <w:tcPr>
            <w:tcW w:w="662" w:type="dxa"/>
            <w:shd w:val="clear" w:color="auto" w:fill="auto"/>
            <w:vAlign w:val="center"/>
          </w:tcPr>
          <w:p w14:paraId="4D0FEF28">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单位</w:t>
            </w:r>
          </w:p>
        </w:tc>
        <w:tc>
          <w:tcPr>
            <w:tcW w:w="723" w:type="dxa"/>
            <w:shd w:val="clear" w:color="auto" w:fill="auto"/>
            <w:vAlign w:val="center"/>
          </w:tcPr>
          <w:p w14:paraId="633E8F8C">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数量</w:t>
            </w:r>
          </w:p>
        </w:tc>
        <w:tc>
          <w:tcPr>
            <w:tcW w:w="1652" w:type="dxa"/>
            <w:shd w:val="clear" w:color="auto" w:fill="auto"/>
            <w:vAlign w:val="center"/>
          </w:tcPr>
          <w:p w14:paraId="5B683A44">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安装地点</w:t>
            </w:r>
          </w:p>
          <w:p w14:paraId="6F0626D6">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 服务对象</w:t>
            </w:r>
          </w:p>
        </w:tc>
        <w:tc>
          <w:tcPr>
            <w:tcW w:w="1042" w:type="dxa"/>
            <w:shd w:val="clear" w:color="auto" w:fill="auto"/>
            <w:vAlign w:val="center"/>
          </w:tcPr>
          <w:p w14:paraId="145B83C0">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供货方式</w:t>
            </w:r>
          </w:p>
        </w:tc>
      </w:tr>
      <w:tr w14:paraId="779A7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69" w:type="dxa"/>
            <w:shd w:val="clear" w:color="auto" w:fill="auto"/>
            <w:vAlign w:val="center"/>
          </w:tcPr>
          <w:p w14:paraId="12D4CD05">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sz w:val="21"/>
                <w:szCs w:val="21"/>
                <w:highlight w:val="none"/>
              </w:rPr>
            </w:pPr>
            <w:r>
              <w:rPr>
                <w:rFonts w:hint="eastAsia" w:ascii="仿宋" w:hAnsi="仿宋" w:eastAsia="仿宋" w:cs="仿宋"/>
                <w:color w:val="auto"/>
                <w:kern w:val="2"/>
                <w:sz w:val="21"/>
                <w:szCs w:val="21"/>
                <w:highlight w:val="none"/>
              </w:rPr>
              <w:t>1</w:t>
            </w:r>
          </w:p>
        </w:tc>
        <w:tc>
          <w:tcPr>
            <w:tcW w:w="1241" w:type="dxa"/>
            <w:shd w:val="clear" w:color="auto" w:fill="auto"/>
            <w:vAlign w:val="center"/>
          </w:tcPr>
          <w:p w14:paraId="45A45ED1">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柔性吊</w:t>
            </w:r>
          </w:p>
        </w:tc>
        <w:tc>
          <w:tcPr>
            <w:tcW w:w="1340" w:type="dxa"/>
            <w:shd w:val="clear" w:color="auto" w:fill="auto"/>
            <w:vAlign w:val="center"/>
          </w:tcPr>
          <w:p w14:paraId="25AA754E">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250kg</w:t>
            </w:r>
          </w:p>
        </w:tc>
        <w:tc>
          <w:tcPr>
            <w:tcW w:w="662" w:type="dxa"/>
            <w:shd w:val="clear" w:color="auto" w:fill="auto"/>
            <w:vAlign w:val="center"/>
          </w:tcPr>
          <w:p w14:paraId="71FA3174">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套</w:t>
            </w:r>
          </w:p>
        </w:tc>
        <w:tc>
          <w:tcPr>
            <w:tcW w:w="723" w:type="dxa"/>
            <w:shd w:val="clear" w:color="auto" w:fill="auto"/>
            <w:vAlign w:val="center"/>
          </w:tcPr>
          <w:p w14:paraId="17F1E6A2">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43</w:t>
            </w:r>
          </w:p>
        </w:tc>
        <w:tc>
          <w:tcPr>
            <w:tcW w:w="1652" w:type="dxa"/>
            <w:shd w:val="clear" w:color="auto" w:fill="auto"/>
            <w:vAlign w:val="center"/>
          </w:tcPr>
          <w:p w14:paraId="62588E88">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桥壳加工一部</w:t>
            </w:r>
          </w:p>
        </w:tc>
        <w:tc>
          <w:tcPr>
            <w:tcW w:w="1042" w:type="dxa"/>
            <w:shd w:val="clear" w:color="auto" w:fill="auto"/>
            <w:vAlign w:val="center"/>
          </w:tcPr>
          <w:p w14:paraId="5858BC3A">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交钥匙</w:t>
            </w:r>
          </w:p>
        </w:tc>
      </w:tr>
      <w:tr w14:paraId="7EFFF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69" w:type="dxa"/>
            <w:shd w:val="clear" w:color="auto" w:fill="auto"/>
            <w:vAlign w:val="center"/>
          </w:tcPr>
          <w:p w14:paraId="09ED1433">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2</w:t>
            </w:r>
          </w:p>
        </w:tc>
        <w:tc>
          <w:tcPr>
            <w:tcW w:w="1241" w:type="dxa"/>
            <w:shd w:val="clear" w:color="auto" w:fill="auto"/>
            <w:vAlign w:val="center"/>
          </w:tcPr>
          <w:p w14:paraId="6160A77B">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rPr>
              <w:t>柔性吊</w:t>
            </w:r>
          </w:p>
        </w:tc>
        <w:tc>
          <w:tcPr>
            <w:tcW w:w="1340" w:type="dxa"/>
            <w:shd w:val="clear" w:color="auto" w:fill="auto"/>
            <w:vAlign w:val="center"/>
          </w:tcPr>
          <w:p w14:paraId="2BE2A63F">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500Kg</w:t>
            </w:r>
          </w:p>
        </w:tc>
        <w:tc>
          <w:tcPr>
            <w:tcW w:w="662" w:type="dxa"/>
            <w:shd w:val="clear" w:color="auto" w:fill="auto"/>
            <w:vAlign w:val="center"/>
          </w:tcPr>
          <w:p w14:paraId="1AAFF295">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套</w:t>
            </w:r>
          </w:p>
        </w:tc>
        <w:tc>
          <w:tcPr>
            <w:tcW w:w="723" w:type="dxa"/>
            <w:shd w:val="clear" w:color="auto" w:fill="auto"/>
            <w:vAlign w:val="center"/>
          </w:tcPr>
          <w:p w14:paraId="64F19283">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2</w:t>
            </w:r>
          </w:p>
        </w:tc>
        <w:tc>
          <w:tcPr>
            <w:tcW w:w="1652" w:type="dxa"/>
            <w:shd w:val="clear" w:color="auto" w:fill="auto"/>
            <w:vAlign w:val="center"/>
          </w:tcPr>
          <w:p w14:paraId="2EFABF9F">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驱动桥部</w:t>
            </w:r>
          </w:p>
        </w:tc>
        <w:tc>
          <w:tcPr>
            <w:tcW w:w="1042" w:type="dxa"/>
            <w:shd w:val="clear" w:color="auto" w:fill="auto"/>
            <w:vAlign w:val="center"/>
          </w:tcPr>
          <w:p w14:paraId="3B417D1B">
            <w:pPr>
              <w:pStyle w:val="19"/>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交钥匙</w:t>
            </w:r>
          </w:p>
        </w:tc>
      </w:tr>
    </w:tbl>
    <w:p w14:paraId="37E1F28C">
      <w:pPr>
        <w:pStyle w:val="19"/>
        <w:snapToGrid w:val="0"/>
        <w:spacing w:line="360" w:lineRule="auto"/>
        <w:ind w:firstLine="420" w:firstLineChars="200"/>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备注：①本表所列采购货物仅为货物的主要构成部分，应配套供货以及招标方所列其它货物（或设备）和服务，请投标方认真阅读“供货范围”。若有异议，不管是多么微小，都应在投标文件“商务偏离”章节中予以详细说明。②本表“供货方式”指：交钥匙方式——包括制造、运输、定点卸货、安装、调试和验收以及培训等。</w:t>
      </w:r>
    </w:p>
    <w:p w14:paraId="62651272">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br w:type="page"/>
      </w:r>
    </w:p>
    <w:p w14:paraId="2295F1DE">
      <w:pPr>
        <w:jc w:val="center"/>
        <w:outlineLvl w:val="0"/>
        <w:rPr>
          <w:rFonts w:ascii="仿宋" w:hAnsi="仿宋" w:eastAsia="仿宋" w:cs="仿宋"/>
          <w:b/>
          <w:bCs/>
          <w:color w:val="000000" w:themeColor="text1"/>
          <w14:textFill>
            <w14:solidFill>
              <w14:schemeClr w14:val="tx1"/>
            </w14:solidFill>
          </w14:textFill>
        </w:rPr>
      </w:pPr>
      <w:bookmarkStart w:id="131" w:name="_Toc19793"/>
      <w:bookmarkStart w:id="132" w:name="_Toc15180"/>
      <w:bookmarkStart w:id="133" w:name="_Toc27638"/>
      <w:bookmarkStart w:id="134" w:name="_Toc20034"/>
      <w:bookmarkStart w:id="135" w:name="_Toc32616"/>
      <w:bookmarkStart w:id="136" w:name="_Toc16387"/>
      <w:bookmarkStart w:id="137" w:name="_Toc442"/>
      <w:bookmarkStart w:id="138" w:name="_Toc2018"/>
      <w:bookmarkStart w:id="139" w:name="_Toc1621"/>
      <w:bookmarkStart w:id="140" w:name="_Toc28168"/>
      <w:bookmarkStart w:id="141" w:name="_Toc10580"/>
      <w:bookmarkStart w:id="142" w:name="_Toc31734"/>
      <w:bookmarkStart w:id="143" w:name="_Toc10441"/>
      <w:bookmarkStart w:id="144" w:name="_Toc6687"/>
      <w:bookmarkStart w:id="145" w:name="_Toc13878"/>
      <w:bookmarkStart w:id="146" w:name="_Toc8780"/>
      <w:bookmarkStart w:id="147" w:name="_Toc73112399"/>
      <w:bookmarkStart w:id="148" w:name="_Toc32524"/>
      <w:bookmarkStart w:id="149" w:name="_Toc24992"/>
      <w:bookmarkStart w:id="150" w:name="_Toc30487"/>
      <w:bookmarkStart w:id="151" w:name="_Toc24597"/>
      <w:bookmarkStart w:id="152" w:name="_Toc133783969"/>
      <w:bookmarkStart w:id="153" w:name="_Toc22658"/>
      <w:bookmarkStart w:id="154" w:name="_Toc7813"/>
      <w:bookmarkStart w:id="155" w:name="_Toc11605"/>
      <w:bookmarkStart w:id="156" w:name="_Toc4488"/>
      <w:bookmarkStart w:id="157" w:name="_Toc7739"/>
      <w:bookmarkStart w:id="158" w:name="_Toc26470"/>
      <w:bookmarkStart w:id="159" w:name="_Toc12377"/>
      <w:bookmarkStart w:id="160" w:name="_Toc8565"/>
      <w:bookmarkStart w:id="161" w:name="_Toc7805"/>
      <w:bookmarkStart w:id="162" w:name="_Toc4743"/>
      <w:bookmarkStart w:id="163" w:name="_Toc30429"/>
      <w:bookmarkStart w:id="164" w:name="_Toc23603"/>
      <w:bookmarkStart w:id="165" w:name="_Toc26149"/>
      <w:bookmarkStart w:id="166" w:name="_Toc18120"/>
      <w:bookmarkStart w:id="167" w:name="_Toc29174"/>
      <w:bookmarkStart w:id="168" w:name="_Toc19015"/>
      <w:bookmarkStart w:id="169" w:name="_Toc17465"/>
      <w:bookmarkStart w:id="170" w:name="_Toc2875"/>
      <w:bookmarkStart w:id="171" w:name="_Toc761"/>
      <w:bookmarkStart w:id="172" w:name="_Toc498"/>
      <w:bookmarkStart w:id="173" w:name="_Toc7338"/>
      <w:bookmarkStart w:id="174" w:name="_Toc22689"/>
      <w:bookmarkStart w:id="175" w:name="_Toc18970"/>
      <w:bookmarkStart w:id="176" w:name="_Toc4881"/>
      <w:r>
        <w:rPr>
          <w:rFonts w:hint="eastAsia" w:ascii="仿宋" w:hAnsi="仿宋" w:eastAsia="仿宋" w:cs="仿宋"/>
          <w:b/>
          <w:bCs/>
          <w:color w:val="000000" w:themeColor="text1"/>
          <w14:textFill>
            <w14:solidFill>
              <w14:schemeClr w14:val="tx1"/>
            </w14:solidFill>
          </w14:textFill>
        </w:rPr>
        <w:t>第二章技术要求</w:t>
      </w:r>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p w14:paraId="34A327EC">
      <w:pPr>
        <w:snapToGrid w:val="0"/>
        <w:spacing w:line="360" w:lineRule="auto"/>
        <w:ind w:firstLine="422" w:firstLineChars="200"/>
        <w:outlineLvl w:val="1"/>
        <w:rPr>
          <w:rFonts w:ascii="仿宋" w:hAnsi="仿宋" w:eastAsia="仿宋" w:cs="仿宋"/>
          <w:b/>
          <w:bCs/>
          <w:color w:val="000000" w:themeColor="text1"/>
          <w14:textFill>
            <w14:solidFill>
              <w14:schemeClr w14:val="tx1"/>
            </w14:solidFill>
          </w14:textFill>
        </w:rPr>
      </w:pPr>
      <w:bookmarkStart w:id="177" w:name="_Toc9894"/>
      <w:bookmarkStart w:id="178" w:name="_Toc29489"/>
      <w:bookmarkStart w:id="179" w:name="_Toc26827"/>
      <w:bookmarkStart w:id="180" w:name="_Toc11621"/>
      <w:bookmarkStart w:id="181" w:name="_Toc73112400"/>
      <w:bookmarkStart w:id="182" w:name="_Toc23337"/>
      <w:bookmarkStart w:id="183" w:name="_Toc17019"/>
      <w:bookmarkStart w:id="184" w:name="_Toc27282"/>
      <w:bookmarkStart w:id="185" w:name="_Toc13195"/>
      <w:bookmarkStart w:id="186" w:name="_Toc15747"/>
      <w:bookmarkStart w:id="187" w:name="_Toc23050"/>
      <w:bookmarkStart w:id="188" w:name="_Toc5469"/>
      <w:bookmarkStart w:id="189" w:name="_Toc31434"/>
      <w:bookmarkStart w:id="190" w:name="_Toc7141"/>
      <w:bookmarkStart w:id="191" w:name="_Toc1968"/>
      <w:bookmarkStart w:id="192" w:name="_Toc1111"/>
      <w:bookmarkStart w:id="193" w:name="_Toc18792"/>
      <w:bookmarkStart w:id="194" w:name="_Toc29354"/>
      <w:bookmarkStart w:id="195" w:name="_Toc16063"/>
      <w:bookmarkStart w:id="196" w:name="_Toc6003"/>
      <w:bookmarkStart w:id="197" w:name="_Toc25950"/>
      <w:bookmarkStart w:id="198" w:name="_Toc5450"/>
      <w:bookmarkStart w:id="199" w:name="_Toc15744"/>
      <w:bookmarkStart w:id="200" w:name="_Toc20792"/>
      <w:bookmarkStart w:id="201" w:name="_Toc5804"/>
      <w:bookmarkStart w:id="202" w:name="_Toc31691"/>
      <w:bookmarkStart w:id="203" w:name="_Toc22422"/>
      <w:bookmarkStart w:id="204" w:name="_Toc31246"/>
      <w:bookmarkStart w:id="205" w:name="_Toc15995"/>
      <w:bookmarkStart w:id="206" w:name="_Toc27930"/>
      <w:bookmarkStart w:id="207" w:name="_Toc9134"/>
      <w:bookmarkStart w:id="208" w:name="_Toc380"/>
      <w:bookmarkStart w:id="209" w:name="_Toc477"/>
      <w:bookmarkStart w:id="210" w:name="_Toc16822"/>
      <w:bookmarkStart w:id="211" w:name="_Toc11056"/>
      <w:bookmarkStart w:id="212" w:name="_Toc39"/>
      <w:bookmarkStart w:id="213" w:name="_Toc21559"/>
      <w:bookmarkStart w:id="214" w:name="_Toc5876"/>
      <w:bookmarkStart w:id="215" w:name="_Toc5714"/>
      <w:bookmarkStart w:id="216" w:name="_Toc5110"/>
      <w:bookmarkStart w:id="217" w:name="_Toc28751"/>
      <w:bookmarkStart w:id="218" w:name="_Toc4126"/>
      <w:bookmarkStart w:id="219" w:name="_Toc20402"/>
      <w:bookmarkStart w:id="220" w:name="_Toc2473"/>
      <w:r>
        <w:rPr>
          <w:rFonts w:hint="eastAsia" w:ascii="仿宋" w:hAnsi="仿宋" w:eastAsia="仿宋" w:cs="仿宋"/>
          <w:b/>
          <w:bCs/>
          <w:color w:val="000000" w:themeColor="text1"/>
          <w14:textFill>
            <w14:solidFill>
              <w14:schemeClr w14:val="tx1"/>
            </w14:solidFill>
          </w14:textFill>
        </w:rPr>
        <w:t>1基本要求</w:t>
      </w:r>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p>
    <w:p w14:paraId="3C140DD1">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1.1投标方所供的货物，必须符合中国最新版的法律、法规和相关标准、规范的要求，符合项目所在地政府有关特殊要求。</w:t>
      </w:r>
    </w:p>
    <w:p w14:paraId="4179B6D0">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1.2投标方所供货物涉及的、招标方有权使用的专利权技术以及知识产权保护的其它技术等，应保证招标方不因此受到任何侵权指控以及实际损失。</w:t>
      </w:r>
    </w:p>
    <w:p w14:paraId="0F4DC0FC">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1.3投标方应保证所供货物的先进性、可靠性、经济性和实用性，并为全新货物（或设备）。</w:t>
      </w:r>
    </w:p>
    <w:p w14:paraId="6247A421">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1.4 投标方应满足招标方提出的各项技术要求，必要时应当免费提供技术承诺或担保。</w:t>
      </w:r>
    </w:p>
    <w:p w14:paraId="365C7847">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★1.5投标方应保证所供货物为中国公布的非淘汰货物，并为中国指定或规定的主管部门认可的环保型和节能型货物；招标的中标货物不接受试验品（提供证据），还应是原产地的货物。</w:t>
      </w:r>
    </w:p>
    <w:p w14:paraId="749F8F67">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1.6投标方保证所供货物的完整性和成套性，能保证货物的正常运行、使用。</w:t>
      </w:r>
    </w:p>
    <w:p w14:paraId="184EAEA1">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1.7投标方对招标方招标货物所涉及的技术、能力等信息负有保密义务，特殊项目应当无条件签署保密协议。</w:t>
      </w:r>
    </w:p>
    <w:p w14:paraId="144C2D4E">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1.8投标方应保证所供货物，必须符合《机械制造企业安全生产标准化》各项要求。确保货物在使用管理过程中满足《职业健康安全管理体系》、《环境管理体系》等方面的规范及国家标准要求；必须提供所供货物相应的安全操作规程。</w:t>
      </w:r>
    </w:p>
    <w:p w14:paraId="79BE31CC">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1.9设备用能设计基本要求：</w:t>
      </w:r>
    </w:p>
    <w:p w14:paraId="622BEB19">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1.9.1 任何用能设备均应遵循《能源管理体系要求》（GB/T23331-2012）的相关规定，并在《能源管理体系要求》下开展设备的采购、维护、保养、淘汰更换等工作。</w:t>
      </w:r>
    </w:p>
    <w:p w14:paraId="08288454">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1.9.2 为方便用能设备的计量统计，新增采购设备应在《用能单位能源计量器具配备和管理通则》（GB17167-2006）指导下配备符合相应要求的能源计量器具。</w:t>
      </w:r>
    </w:p>
    <w:p w14:paraId="25DDD5F1">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1.9.3 供方应确保各类机电设备（产品）无《高耗能机电设备（产品）淘汰目录（第一批）》、《高耗能机电设备（产品）淘汰目录（第二 批）》、《高耗能机电设备（产品）淘汰目录（第三批）》所罗列的各类淘汰机电设备（产品）。</w:t>
      </w:r>
    </w:p>
    <w:p w14:paraId="7716F048">
      <w:pPr>
        <w:widowControl w:val="0"/>
        <w:snapToGrid w:val="0"/>
        <w:spacing w:line="360" w:lineRule="auto"/>
        <w:ind w:firstLine="420" w:firstLineChars="200"/>
        <w:jc w:val="both"/>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 xml:space="preserve">1.9.4 </w:t>
      </w:r>
      <w:r>
        <w:rPr>
          <w:rFonts w:hint="eastAsia" w:ascii="仿宋" w:hAnsi="仿宋" w:eastAsia="仿宋" w:cs="仿宋"/>
          <w:kern w:val="0"/>
          <w:sz w:val="24"/>
          <w:szCs w:val="24"/>
          <w:highlight w:val="none"/>
          <w:lang w:val="en-US" w:eastAsia="zh-CN" w:bidi="ar-SA"/>
        </w:rPr>
        <w:t>在各类机电设备（产品）的采购过程中应优先选用符合《节能机电设备（产品）推荐目录（第七批）》的机电设备（产品）。原则上，电机功率≥7.5kW，必须选用一级能效。电机功率&lt;7.5kw，优先选用一级能效;其中对于能源供应类设备及年运行时间≥2000h 工艺设备的电机必须选用一级能效。杜绝选用三级及以下能效。空调必须选用一级能效，变压器最低选用二级能效，对于特殊场景、特殊用途其他设备结合性价比综合考虑、充分论证。</w:t>
      </w:r>
    </w:p>
    <w:p w14:paraId="41F21F87">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1.9.5 供方应确保设备的附属各类机电设备、设施（如：电机、风机、电器控制系统、润滑、保温隔热、照明、湿度等等）符合国家现行的相关专项标准要求。</w:t>
      </w:r>
    </w:p>
    <w:p w14:paraId="44A6D76E">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★1.10设备使用仪表和自控设备要求：</w:t>
      </w:r>
    </w:p>
    <w:p w14:paraId="59C41429">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1.10.1设备使用仪表通用技术要求:</w:t>
      </w:r>
    </w:p>
    <w:p w14:paraId="74FCA993">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1.10.1.1投标人及供货商应保证所提供的仪表和自控设备，完全符合或高于本文通用技术要求及相应产品技术规范的要求，并应保证其供应产品在本工程指明的环境条件下能够长期安全、正常地运行。 </w:t>
      </w:r>
    </w:p>
    <w:p w14:paraId="6F051079">
      <w:pPr>
        <w:widowControl w:val="0"/>
        <w:snapToGrid w:val="0"/>
        <w:spacing w:line="360" w:lineRule="auto"/>
        <w:ind w:firstLine="420" w:firstLineChars="200"/>
        <w:jc w:val="both"/>
        <w:rPr>
          <w:rFonts w:ascii="仿宋" w:hAnsi="仿宋" w:eastAsia="仿宋" w:cs="仿宋"/>
          <w:kern w:val="0"/>
          <w:sz w:val="24"/>
          <w:szCs w:val="24"/>
          <w:highlight w:val="none"/>
          <w:lang w:val="en-US" w:eastAsia="zh-CN" w:bidi="ar-SA"/>
        </w:rPr>
      </w:pPr>
      <w:r>
        <w:rPr>
          <w:rFonts w:hint="eastAsia" w:ascii="仿宋" w:hAnsi="仿宋" w:eastAsia="仿宋" w:cs="仿宋"/>
          <w:color w:val="000000" w:themeColor="text1"/>
          <w14:textFill>
            <w14:solidFill>
              <w14:schemeClr w14:val="tx1"/>
            </w14:solidFill>
          </w14:textFill>
        </w:rPr>
        <w:t>1.10.1.2</w:t>
      </w:r>
      <w:r>
        <w:rPr>
          <w:rFonts w:hint="eastAsia" w:ascii="仿宋" w:hAnsi="仿宋" w:eastAsia="仿宋" w:cs="仿宋"/>
          <w:kern w:val="0"/>
          <w:sz w:val="24"/>
          <w:szCs w:val="24"/>
          <w:highlight w:val="none"/>
          <w:lang w:val="en-US" w:eastAsia="zh-CN" w:bidi="ar-SA"/>
        </w:rPr>
        <w:t>投标人及供货商所提供的产品，应符合中华人民共和国国家质量监督检验检疫总局发布的《强制性产品认证管理规定》(AQSIQ)的要求，请投标人及供货商确认其投标产品是否包括在《中华人民共和国实施强制性产品认证的产品目录》内，包括在目录中的产品应取得被授权的认证机构颁发的“中国国家强制性产品认证证书”(CCC)。无论任何原因造成的不良后果均由投标人及供货商负责。</w:t>
      </w:r>
    </w:p>
    <w:p w14:paraId="787A1240">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1.10.1.3</w:t>
      </w:r>
      <w:r>
        <w:rPr>
          <w:rFonts w:hint="eastAsia" w:ascii="仿宋" w:hAnsi="仿宋" w:eastAsia="仿宋" w:cs="仿宋"/>
          <w:kern w:val="0"/>
          <w:sz w:val="24"/>
          <w:szCs w:val="24"/>
          <w:highlight w:val="none"/>
          <w:lang w:val="en-US" w:eastAsia="zh-CN" w:bidi="ar-SA"/>
        </w:rPr>
        <w:t>仪表、自控设备以及其附件所需电源，应符合产品技术规范提出的配电要求。在运输和储存期间，仪表和自控设备外壳上，凡用于连接的所有接口及孔、洞、附件应用堵头进行保护，并应清楚地标明其用途, 并注明“能源、计量”使用状态。 国家规定属于强制检定的仪表、自控设备应符合铅封等强制要求标准。</w:t>
      </w:r>
      <w:r>
        <w:rPr>
          <w:rFonts w:hint="eastAsia" w:ascii="仿宋" w:hAnsi="仿宋" w:eastAsia="仿宋" w:cs="仿宋"/>
          <w:color w:val="000000" w:themeColor="text1"/>
          <w14:textFill>
            <w14:solidFill>
              <w14:schemeClr w14:val="tx1"/>
            </w14:solidFill>
          </w14:textFill>
        </w:rPr>
        <w:t> </w:t>
      </w:r>
    </w:p>
    <w:p w14:paraId="2554D6EB">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1.10.2准确度要求: </w:t>
      </w:r>
    </w:p>
    <w:p w14:paraId="66859B33">
      <w:pPr>
        <w:widowControl w:val="0"/>
        <w:snapToGrid w:val="0"/>
        <w:spacing w:line="360" w:lineRule="auto"/>
        <w:ind w:firstLine="420" w:firstLineChars="200"/>
        <w:jc w:val="both"/>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1.10.2.1</w:t>
      </w:r>
      <w:r>
        <w:rPr>
          <w:rFonts w:hint="eastAsia" w:ascii="仿宋" w:hAnsi="仿宋" w:eastAsia="仿宋" w:cs="仿宋"/>
          <w:kern w:val="0"/>
          <w:sz w:val="24"/>
          <w:szCs w:val="24"/>
          <w:highlight w:val="none"/>
          <w:lang w:val="en-US" w:eastAsia="zh-CN" w:bidi="ar-SA"/>
        </w:rPr>
        <w:t>投标人及供货商所提供的仪表和自控设备应在测量原理上符合相应产品的专用技术规格书中的要求，应保证出厂产品的实际准确度等于或优于提供的技术资料中的标称准确度。货物所使用计量用仪器、仪表和自控设备，该产品应附有具备CNAS、CAL、CMA（国际或国家）计量认证资质的市级以上国家法定计量检定机构出具的校准证书、检定证书。</w:t>
      </w:r>
    </w:p>
    <w:p w14:paraId="1358D4E6">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1.10.2.2仪表和自控设备的准确度应不受周围环境和安装位置的影响，任何生产过程中存在的正常振动，不应造成测量准确度的变化。仪表和自控设备的零点和重复性应非常稳定，并符合各专用技术规格书中的有关技术要求。 </w:t>
      </w:r>
    </w:p>
    <w:p w14:paraId="759C68F3">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   1.10.3材质要求: </w:t>
      </w:r>
    </w:p>
    <w:p w14:paraId="1DDDBAA2">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投标人及供货商应保证所提供的仪表和自控设备在材料的使用方面无任何设计问题，能够满足或高于实际操作和使用过程中的要求，如压力、温度、粘度、组份等的要求。应保证所有零部件的材质必须符合环境条件如湿度、温度以及防爆的要求。</w:t>
      </w:r>
    </w:p>
    <w:p w14:paraId="6372D2C7">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★1.11投标方所供设备应按“交钥匙工程”要求。</w:t>
      </w:r>
    </w:p>
    <w:p w14:paraId="4D853EE8">
      <w:pPr>
        <w:snapToGrid w:val="0"/>
        <w:spacing w:line="360" w:lineRule="auto"/>
        <w:ind w:firstLine="422" w:firstLineChars="200"/>
        <w:outlineLvl w:val="1"/>
        <w:rPr>
          <w:rFonts w:ascii="仿宋" w:hAnsi="仿宋" w:eastAsia="仿宋" w:cs="仿宋"/>
          <w:b/>
          <w:bCs/>
          <w:color w:val="000000" w:themeColor="text1"/>
          <w14:textFill>
            <w14:solidFill>
              <w14:schemeClr w14:val="tx1"/>
            </w14:solidFill>
          </w14:textFill>
        </w:rPr>
      </w:pPr>
      <w:bookmarkStart w:id="221" w:name="_Toc6699"/>
      <w:bookmarkStart w:id="222" w:name="_Toc718"/>
      <w:bookmarkStart w:id="223" w:name="_Toc18994"/>
      <w:bookmarkStart w:id="224" w:name="_Hlk69924518"/>
      <w:r>
        <w:rPr>
          <w:rFonts w:hint="eastAsia" w:ascii="仿宋" w:hAnsi="仿宋" w:eastAsia="仿宋" w:cs="仿宋"/>
          <w:b/>
          <w:bCs/>
          <w:color w:val="000000" w:themeColor="text1"/>
          <w14:textFill>
            <w14:solidFill>
              <w14:schemeClr w14:val="tx1"/>
            </w14:solidFill>
          </w14:textFill>
        </w:rPr>
        <w:t>2 执行标准</w:t>
      </w:r>
      <w:bookmarkEnd w:id="221"/>
      <w:bookmarkEnd w:id="222"/>
      <w:bookmarkEnd w:id="223"/>
    </w:p>
    <w:bookmarkEnd w:id="224"/>
    <w:p w14:paraId="2C15F97F">
      <w:pPr>
        <w:spacing w:line="480" w:lineRule="exact"/>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bidi="ar"/>
          <w14:textFill>
            <w14:solidFill>
              <w14:schemeClr w14:val="tx1"/>
            </w14:solidFill>
          </w14:textFill>
        </w:rPr>
        <w:t>2.1 招标方此处所列标准仅为涉及的主要标准，而且不保证其为最新版执行标准；投标方应当在投标文件中予以补充和完善。</w:t>
      </w:r>
    </w:p>
    <w:p w14:paraId="0C197DE9">
      <w:pPr>
        <w:spacing w:line="480" w:lineRule="exact"/>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bidi="ar"/>
          <w14:textFill>
            <w14:solidFill>
              <w14:schemeClr w14:val="tx1"/>
            </w14:solidFill>
          </w14:textFill>
        </w:rPr>
        <w:t>2.2 投标方需要执行的标准，应当以所供设备通过招标方将来组织的最终验收之日后需要执行的标准。</w:t>
      </w:r>
    </w:p>
    <w:p w14:paraId="4D0BAEBA">
      <w:pPr>
        <w:spacing w:line="480" w:lineRule="exact"/>
        <w:ind w:firstLine="420" w:firstLineChars="200"/>
        <w:rPr>
          <w:rFonts w:hint="eastAsia" w:ascii="仿宋" w:hAnsi="仿宋" w:eastAsia="仿宋" w:cs="仿宋"/>
          <w:color w:val="000000" w:themeColor="text1"/>
          <w:lang w:bidi="ar"/>
          <w14:textFill>
            <w14:solidFill>
              <w14:schemeClr w14:val="tx1"/>
            </w14:solidFill>
          </w14:textFill>
        </w:rPr>
      </w:pPr>
      <w:r>
        <w:rPr>
          <w:rFonts w:hint="eastAsia" w:ascii="仿宋" w:hAnsi="仿宋" w:eastAsia="仿宋" w:cs="仿宋"/>
          <w:color w:val="000000" w:themeColor="text1"/>
          <w:lang w:bidi="ar"/>
          <w14:textFill>
            <w14:solidFill>
              <w14:schemeClr w14:val="tx1"/>
            </w14:solidFill>
          </w14:textFill>
        </w:rPr>
        <w:t>2.3 涉及的主要标准表（包含但不限于）</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8"/>
        <w:gridCol w:w="4984"/>
        <w:gridCol w:w="2116"/>
        <w:gridCol w:w="670"/>
      </w:tblGrid>
      <w:tr w14:paraId="7EA28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F8AD8B7">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序号</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7A5F236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标准名称</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06B375D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标准编号</w:t>
            </w:r>
          </w:p>
        </w:tc>
        <w:tc>
          <w:tcPr>
            <w:tcW w:w="670" w:type="dxa"/>
            <w:tcBorders>
              <w:top w:val="single" w:color="auto" w:sz="4" w:space="0"/>
              <w:left w:val="single" w:color="auto" w:sz="4" w:space="0"/>
              <w:bottom w:val="single" w:color="auto" w:sz="4" w:space="0"/>
              <w:right w:val="single" w:color="auto" w:sz="4" w:space="0"/>
            </w:tcBorders>
            <w:shd w:val="clear" w:color="auto" w:fill="auto"/>
            <w:vAlign w:val="center"/>
          </w:tcPr>
          <w:p w14:paraId="7662229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r>
              <w:rPr>
                <w:rFonts w:hint="eastAsia" w:ascii="仿宋" w:hAnsi="仿宋" w:eastAsia="仿宋" w:cs="仿宋"/>
                <w:sz w:val="21"/>
                <w:szCs w:val="21"/>
                <w:highlight w:val="none"/>
                <w:lang w:bidi="ar"/>
              </w:rPr>
              <w:t>备注</w:t>
            </w:r>
          </w:p>
        </w:tc>
      </w:tr>
      <w:tr w14:paraId="71B22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517039F">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2A4DDDD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电工成套装置中的导线颜色</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078AF8A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GB/T2681-81</w:t>
            </w:r>
          </w:p>
        </w:tc>
        <w:tc>
          <w:tcPr>
            <w:tcW w:w="670" w:type="dxa"/>
            <w:vMerge w:val="restart"/>
            <w:tcBorders>
              <w:top w:val="single" w:color="auto" w:sz="4" w:space="0"/>
              <w:left w:val="single" w:color="auto" w:sz="4" w:space="0"/>
              <w:right w:val="single" w:color="auto" w:sz="4" w:space="0"/>
            </w:tcBorders>
            <w:shd w:val="clear" w:color="auto" w:fill="auto"/>
            <w:vAlign w:val="center"/>
          </w:tcPr>
          <w:p w14:paraId="0EE18A5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color w:val="FF0000"/>
                <w:sz w:val="21"/>
                <w:szCs w:val="21"/>
                <w:highlight w:val="none"/>
              </w:rPr>
            </w:pPr>
          </w:p>
        </w:tc>
      </w:tr>
      <w:tr w14:paraId="6284B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56C04B4">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580A72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电工成套装置中的指示灯和按钮的颜色</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2075B55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GB/T2682-81</w:t>
            </w:r>
          </w:p>
        </w:tc>
        <w:tc>
          <w:tcPr>
            <w:tcW w:w="670" w:type="dxa"/>
            <w:vMerge w:val="continue"/>
            <w:tcBorders>
              <w:left w:val="single" w:color="auto" w:sz="4" w:space="0"/>
              <w:right w:val="single" w:color="auto" w:sz="4" w:space="0"/>
            </w:tcBorders>
            <w:shd w:val="clear" w:color="auto" w:fill="auto"/>
            <w:vAlign w:val="center"/>
          </w:tcPr>
          <w:p w14:paraId="28BC852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0929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882DAFF">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D3F7F9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电能质量公用电网谐波</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EF7D81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GB/T14549-93</w:t>
            </w:r>
          </w:p>
        </w:tc>
        <w:tc>
          <w:tcPr>
            <w:tcW w:w="670" w:type="dxa"/>
            <w:vMerge w:val="continue"/>
            <w:tcBorders>
              <w:left w:val="single" w:color="auto" w:sz="4" w:space="0"/>
              <w:right w:val="single" w:color="auto" w:sz="4" w:space="0"/>
            </w:tcBorders>
            <w:shd w:val="clear" w:color="auto" w:fill="auto"/>
            <w:vAlign w:val="center"/>
          </w:tcPr>
          <w:p w14:paraId="450B2FA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69317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665F322">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3FD616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防止上下肢触及危险区的安全距离</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36E107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GB/T23821-2022</w:t>
            </w:r>
          </w:p>
        </w:tc>
        <w:tc>
          <w:tcPr>
            <w:tcW w:w="670" w:type="dxa"/>
            <w:vMerge w:val="continue"/>
            <w:tcBorders>
              <w:left w:val="single" w:color="auto" w:sz="4" w:space="0"/>
              <w:right w:val="single" w:color="auto" w:sz="4" w:space="0"/>
            </w:tcBorders>
            <w:shd w:val="clear" w:color="auto" w:fill="auto"/>
            <w:vAlign w:val="center"/>
          </w:tcPr>
          <w:p w14:paraId="1460F6D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7225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41C84E3">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5A68651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双手操纵装置 设计和选择原则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2256493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GB/T19671-2022</w:t>
            </w:r>
          </w:p>
        </w:tc>
        <w:tc>
          <w:tcPr>
            <w:tcW w:w="670" w:type="dxa"/>
            <w:vMerge w:val="continue"/>
            <w:tcBorders>
              <w:left w:val="single" w:color="auto" w:sz="4" w:space="0"/>
              <w:right w:val="single" w:color="auto" w:sz="4" w:space="0"/>
            </w:tcBorders>
            <w:shd w:val="clear" w:color="auto" w:fill="auto"/>
            <w:vAlign w:val="center"/>
          </w:tcPr>
          <w:p w14:paraId="449A2A5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43BE9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83EA8F0">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32C56A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安全防护的实施准则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07D9FE4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GB/T30574-2021</w:t>
            </w:r>
          </w:p>
        </w:tc>
        <w:tc>
          <w:tcPr>
            <w:tcW w:w="670" w:type="dxa"/>
            <w:vMerge w:val="continue"/>
            <w:tcBorders>
              <w:left w:val="single" w:color="auto" w:sz="4" w:space="0"/>
              <w:right w:val="single" w:color="auto" w:sz="4" w:space="0"/>
            </w:tcBorders>
            <w:shd w:val="clear" w:color="auto" w:fill="auto"/>
            <w:vAlign w:val="center"/>
          </w:tcPr>
          <w:p w14:paraId="491A03A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48324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550CC07">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77CE965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接近机械的固定设施 </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9F1873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17888-2020</w:t>
            </w:r>
          </w:p>
        </w:tc>
        <w:tc>
          <w:tcPr>
            <w:tcW w:w="670" w:type="dxa"/>
            <w:vMerge w:val="continue"/>
            <w:tcBorders>
              <w:left w:val="single" w:color="auto" w:sz="4" w:space="0"/>
              <w:right w:val="single" w:color="auto" w:sz="4" w:space="0"/>
            </w:tcBorders>
            <w:shd w:val="clear" w:color="auto" w:fill="auto"/>
            <w:vAlign w:val="center"/>
          </w:tcPr>
          <w:p w14:paraId="7DB98A5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8824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79CDA9C">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B755B6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《工业企业设计卫生标准》</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5904AA8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GBZ 1-2002</w:t>
            </w:r>
          </w:p>
        </w:tc>
        <w:tc>
          <w:tcPr>
            <w:tcW w:w="670" w:type="dxa"/>
            <w:vMerge w:val="continue"/>
            <w:tcBorders>
              <w:left w:val="single" w:color="auto" w:sz="4" w:space="0"/>
              <w:right w:val="single" w:color="auto" w:sz="4" w:space="0"/>
            </w:tcBorders>
            <w:shd w:val="clear" w:color="auto" w:fill="auto"/>
            <w:vAlign w:val="center"/>
          </w:tcPr>
          <w:p w14:paraId="3BE81B4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A65C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A175F2C">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34D4D8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《工业企业噪声控制设计规范》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01B50F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GB/T50087-2013</w:t>
            </w:r>
          </w:p>
        </w:tc>
        <w:tc>
          <w:tcPr>
            <w:tcW w:w="670" w:type="dxa"/>
            <w:vMerge w:val="continue"/>
            <w:tcBorders>
              <w:left w:val="single" w:color="auto" w:sz="4" w:space="0"/>
              <w:right w:val="single" w:color="auto" w:sz="4" w:space="0"/>
            </w:tcBorders>
            <w:shd w:val="clear" w:color="auto" w:fill="auto"/>
            <w:vAlign w:val="center"/>
          </w:tcPr>
          <w:p w14:paraId="13E7BE8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4C15A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EC19CA1">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58CABA4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《工业企业噪声测量规范》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CE83C0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GBJ122-88</w:t>
            </w:r>
          </w:p>
        </w:tc>
        <w:tc>
          <w:tcPr>
            <w:tcW w:w="670" w:type="dxa"/>
            <w:vMerge w:val="continue"/>
            <w:tcBorders>
              <w:left w:val="single" w:color="auto" w:sz="4" w:space="0"/>
              <w:right w:val="single" w:color="auto" w:sz="4" w:space="0"/>
            </w:tcBorders>
            <w:shd w:val="clear" w:color="auto" w:fill="auto"/>
            <w:vAlign w:val="center"/>
          </w:tcPr>
          <w:p w14:paraId="42272E4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47E10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70CC772">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4DEAC5E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工作场所物理因素测量</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059D50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GBZ/T189.1-2007</w:t>
            </w:r>
          </w:p>
        </w:tc>
        <w:tc>
          <w:tcPr>
            <w:tcW w:w="670" w:type="dxa"/>
            <w:vMerge w:val="continue"/>
            <w:tcBorders>
              <w:left w:val="single" w:color="auto" w:sz="4" w:space="0"/>
              <w:right w:val="single" w:color="auto" w:sz="4" w:space="0"/>
            </w:tcBorders>
            <w:shd w:val="clear" w:color="auto" w:fill="auto"/>
            <w:vAlign w:val="center"/>
          </w:tcPr>
          <w:p w14:paraId="2AE6C89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119B0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3E6ACAA4">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655E47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高耗能落后机电设备（产品）淘汰目录（第二批）</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56CA3D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14:paraId="1DB730E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3197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0E104C01">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7C835EC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高耗能落后机电设备（产品）淘汰目录（第三批）</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60EBDF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14:paraId="6EBEBB9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615A3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E8C3DD5">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DCD418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高耗能落后机电设备（产品）淘汰目录（第一批）</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B9566C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14:paraId="025CB1A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A07A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A90BF27">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459B516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高耗能落后机电设备（产品）淘汰目录（第四批）</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5D2611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14:paraId="397B8E7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9AF2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1DE5BE8">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E44919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节能机电设备（产品）推荐目录</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5D3E2FF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14:paraId="1CB1AA5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3E4D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0BE32011">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6C2466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用能单位能源计量器具配备和管理</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B3E3C0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GB17167-2006</w:t>
            </w:r>
          </w:p>
        </w:tc>
        <w:tc>
          <w:tcPr>
            <w:tcW w:w="670" w:type="dxa"/>
            <w:vMerge w:val="continue"/>
            <w:tcBorders>
              <w:left w:val="single" w:color="auto" w:sz="4" w:space="0"/>
              <w:right w:val="single" w:color="auto" w:sz="4" w:space="0"/>
            </w:tcBorders>
            <w:shd w:val="clear" w:color="auto" w:fill="auto"/>
            <w:vAlign w:val="center"/>
          </w:tcPr>
          <w:p w14:paraId="1AC05A6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40414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76FFE06">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285C80D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《工作场所物理因素测量》第8部分噪声</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4790A1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GBZ/T189.8-2007</w:t>
            </w:r>
          </w:p>
        </w:tc>
        <w:tc>
          <w:tcPr>
            <w:tcW w:w="670" w:type="dxa"/>
            <w:vMerge w:val="continue"/>
            <w:tcBorders>
              <w:left w:val="single" w:color="auto" w:sz="4" w:space="0"/>
              <w:right w:val="single" w:color="auto" w:sz="4" w:space="0"/>
            </w:tcBorders>
            <w:shd w:val="clear" w:color="auto" w:fill="auto"/>
            <w:vAlign w:val="center"/>
          </w:tcPr>
          <w:p w14:paraId="645EEE9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1428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B727969">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445D13D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钢结构防火涂料通用技术条件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1ABAEE4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GB/T14907-94</w:t>
            </w:r>
          </w:p>
        </w:tc>
        <w:tc>
          <w:tcPr>
            <w:tcW w:w="670" w:type="dxa"/>
            <w:vMerge w:val="continue"/>
            <w:tcBorders>
              <w:left w:val="single" w:color="auto" w:sz="4" w:space="0"/>
              <w:right w:val="single" w:color="auto" w:sz="4" w:space="0"/>
            </w:tcBorders>
            <w:shd w:val="clear" w:color="auto" w:fill="auto"/>
            <w:vAlign w:val="center"/>
          </w:tcPr>
          <w:p w14:paraId="60CC66D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44027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B4A3B49">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7FCD308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建筑机械与设备涂装通用技术条件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3967C4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GB/T5011.12-92</w:t>
            </w:r>
          </w:p>
        </w:tc>
        <w:tc>
          <w:tcPr>
            <w:tcW w:w="670" w:type="dxa"/>
            <w:vMerge w:val="continue"/>
            <w:tcBorders>
              <w:left w:val="single" w:color="auto" w:sz="4" w:space="0"/>
              <w:right w:val="single" w:color="auto" w:sz="4" w:space="0"/>
            </w:tcBorders>
            <w:shd w:val="clear" w:color="auto" w:fill="auto"/>
            <w:vAlign w:val="center"/>
          </w:tcPr>
          <w:p w14:paraId="6B4CF53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4319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0BFD9AC">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1FC487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接近机械的固定设施</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E73F58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17888-2020</w:t>
            </w:r>
          </w:p>
        </w:tc>
        <w:tc>
          <w:tcPr>
            <w:tcW w:w="670" w:type="dxa"/>
            <w:vMerge w:val="continue"/>
            <w:tcBorders>
              <w:left w:val="single" w:color="auto" w:sz="4" w:space="0"/>
              <w:right w:val="single" w:color="auto" w:sz="4" w:space="0"/>
            </w:tcBorders>
            <w:shd w:val="clear" w:color="auto" w:fill="auto"/>
            <w:vAlign w:val="center"/>
          </w:tcPr>
          <w:p w14:paraId="15B974F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89FC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E5A5278">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E86622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环链电动葫芦技术条件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7894C1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JB/T5317.2-1991</w:t>
            </w:r>
          </w:p>
        </w:tc>
        <w:tc>
          <w:tcPr>
            <w:tcW w:w="670" w:type="dxa"/>
            <w:vMerge w:val="continue"/>
            <w:tcBorders>
              <w:left w:val="single" w:color="auto" w:sz="4" w:space="0"/>
              <w:right w:val="single" w:color="auto" w:sz="4" w:space="0"/>
            </w:tcBorders>
            <w:shd w:val="clear" w:color="auto" w:fill="auto"/>
            <w:vAlign w:val="center"/>
          </w:tcPr>
          <w:p w14:paraId="447FA9D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2F95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95DD93B">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4C9A0C2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柔性组合式悬挂起重机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1FF4BF8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JB/T 10381-2002</w:t>
            </w:r>
          </w:p>
        </w:tc>
        <w:tc>
          <w:tcPr>
            <w:tcW w:w="670" w:type="dxa"/>
            <w:vMerge w:val="continue"/>
            <w:tcBorders>
              <w:left w:val="single" w:color="auto" w:sz="4" w:space="0"/>
              <w:right w:val="single" w:color="auto" w:sz="4" w:space="0"/>
            </w:tcBorders>
            <w:shd w:val="clear" w:color="auto" w:fill="auto"/>
            <w:vAlign w:val="center"/>
          </w:tcPr>
          <w:p w14:paraId="493ED24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9300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1CEAEA6">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221F21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起重机械超载保护装置安全技术规范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2677139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GB12602-90</w:t>
            </w:r>
          </w:p>
        </w:tc>
        <w:tc>
          <w:tcPr>
            <w:tcW w:w="670" w:type="dxa"/>
            <w:vMerge w:val="continue"/>
            <w:tcBorders>
              <w:left w:val="single" w:color="auto" w:sz="4" w:space="0"/>
              <w:right w:val="single" w:color="auto" w:sz="4" w:space="0"/>
            </w:tcBorders>
            <w:shd w:val="clear" w:color="auto" w:fill="auto"/>
            <w:vAlign w:val="center"/>
          </w:tcPr>
          <w:p w14:paraId="017FE5D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1F696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20B86E4">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F6E69E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起重机试验规范和程序</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54DF7CF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5905-2011</w:t>
            </w:r>
          </w:p>
        </w:tc>
        <w:tc>
          <w:tcPr>
            <w:tcW w:w="670" w:type="dxa"/>
            <w:vMerge w:val="continue"/>
            <w:tcBorders>
              <w:left w:val="single" w:color="auto" w:sz="4" w:space="0"/>
              <w:right w:val="single" w:color="auto" w:sz="4" w:space="0"/>
            </w:tcBorders>
            <w:shd w:val="clear" w:color="auto" w:fill="auto"/>
            <w:vAlign w:val="center"/>
          </w:tcPr>
          <w:p w14:paraId="4288227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40E42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6E28594">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FC8635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起重机设计规范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25DBA8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GB/T3811-2008</w:t>
            </w:r>
          </w:p>
        </w:tc>
        <w:tc>
          <w:tcPr>
            <w:tcW w:w="670" w:type="dxa"/>
            <w:vMerge w:val="continue"/>
            <w:tcBorders>
              <w:left w:val="single" w:color="auto" w:sz="4" w:space="0"/>
              <w:right w:val="single" w:color="auto" w:sz="4" w:space="0"/>
            </w:tcBorders>
            <w:shd w:val="clear" w:color="auto" w:fill="auto"/>
            <w:vAlign w:val="center"/>
          </w:tcPr>
          <w:p w14:paraId="6292371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6C141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0D9C2244">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B37226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起重机安全规程第1部分总则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237F17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GB/T6067.1-2010</w:t>
            </w:r>
          </w:p>
        </w:tc>
        <w:tc>
          <w:tcPr>
            <w:tcW w:w="670" w:type="dxa"/>
            <w:vMerge w:val="continue"/>
            <w:tcBorders>
              <w:left w:val="single" w:color="auto" w:sz="4" w:space="0"/>
              <w:right w:val="single" w:color="auto" w:sz="4" w:space="0"/>
            </w:tcBorders>
            <w:shd w:val="clear" w:color="auto" w:fill="auto"/>
            <w:vAlign w:val="center"/>
          </w:tcPr>
          <w:p w14:paraId="3D086A7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313E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324E208D">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E52943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起重机安全规程第5部分桥式和门式起重机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2F06630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GB/T6067.5-2014</w:t>
            </w:r>
          </w:p>
        </w:tc>
        <w:tc>
          <w:tcPr>
            <w:tcW w:w="670" w:type="dxa"/>
            <w:vMerge w:val="continue"/>
            <w:tcBorders>
              <w:left w:val="single" w:color="auto" w:sz="4" w:space="0"/>
              <w:right w:val="single" w:color="auto" w:sz="4" w:space="0"/>
            </w:tcBorders>
            <w:shd w:val="clear" w:color="auto" w:fill="auto"/>
            <w:vAlign w:val="center"/>
          </w:tcPr>
          <w:p w14:paraId="405D5E7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4CD6E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CE46905">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79E55D4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通用桥式起重机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5EB85FA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GB/T14405-2011</w:t>
            </w:r>
          </w:p>
        </w:tc>
        <w:tc>
          <w:tcPr>
            <w:tcW w:w="670" w:type="dxa"/>
            <w:vMerge w:val="continue"/>
            <w:tcBorders>
              <w:left w:val="single" w:color="auto" w:sz="4" w:space="0"/>
              <w:right w:val="single" w:color="auto" w:sz="4" w:space="0"/>
            </w:tcBorders>
            <w:shd w:val="clear" w:color="auto" w:fill="auto"/>
            <w:vAlign w:val="center"/>
          </w:tcPr>
          <w:p w14:paraId="11CFF0D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C15F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A2D4D1B">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F8F1C8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机械电气安全机械电气设备第32部分；起重机械技术条件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5713C9A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GB/T5223.32-2017</w:t>
            </w:r>
          </w:p>
        </w:tc>
        <w:tc>
          <w:tcPr>
            <w:tcW w:w="670" w:type="dxa"/>
            <w:vMerge w:val="continue"/>
            <w:tcBorders>
              <w:left w:val="single" w:color="auto" w:sz="4" w:space="0"/>
              <w:right w:val="single" w:color="auto" w:sz="4" w:space="0"/>
            </w:tcBorders>
            <w:shd w:val="clear" w:color="auto" w:fill="auto"/>
            <w:vAlign w:val="center"/>
          </w:tcPr>
          <w:p w14:paraId="65E369C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D031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C168A2F">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385310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起重机司机室第1部分总则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2D24C57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GB/T20303.1-2016</w:t>
            </w:r>
          </w:p>
        </w:tc>
        <w:tc>
          <w:tcPr>
            <w:tcW w:w="670" w:type="dxa"/>
            <w:vMerge w:val="continue"/>
            <w:tcBorders>
              <w:left w:val="single" w:color="auto" w:sz="4" w:space="0"/>
              <w:right w:val="single" w:color="auto" w:sz="4" w:space="0"/>
            </w:tcBorders>
            <w:shd w:val="clear" w:color="auto" w:fill="auto"/>
            <w:vAlign w:val="center"/>
          </w:tcPr>
          <w:p w14:paraId="1391C3D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7C89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838261B">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1B9932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起重机司机室第5部分桥式和门式起重机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1C2C122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GB/T20303.5-2006</w:t>
            </w:r>
          </w:p>
        </w:tc>
        <w:tc>
          <w:tcPr>
            <w:tcW w:w="670" w:type="dxa"/>
            <w:vMerge w:val="restart"/>
            <w:tcBorders>
              <w:left w:val="single" w:color="auto" w:sz="4" w:space="0"/>
              <w:right w:val="single" w:color="auto" w:sz="4" w:space="0"/>
            </w:tcBorders>
            <w:shd w:val="clear" w:color="auto" w:fill="auto"/>
            <w:vAlign w:val="center"/>
          </w:tcPr>
          <w:p w14:paraId="7FECC0A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4C9AD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5E48304">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549B00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起重机载荷与载荷组合的设计原则 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563D34E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22437.1-2018</w:t>
            </w:r>
          </w:p>
        </w:tc>
        <w:tc>
          <w:tcPr>
            <w:tcW w:w="670" w:type="dxa"/>
            <w:vMerge w:val="continue"/>
            <w:tcBorders>
              <w:left w:val="single" w:color="auto" w:sz="4" w:space="0"/>
              <w:right w:val="single" w:color="auto" w:sz="4" w:space="0"/>
            </w:tcBorders>
            <w:shd w:val="clear" w:color="auto" w:fill="auto"/>
            <w:vAlign w:val="center"/>
          </w:tcPr>
          <w:p w14:paraId="4789540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6CE9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074CD8D4">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41C5B59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起重吊具分类</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0542C5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35975-2018</w:t>
            </w:r>
          </w:p>
        </w:tc>
        <w:tc>
          <w:tcPr>
            <w:tcW w:w="670" w:type="dxa"/>
            <w:vMerge w:val="continue"/>
            <w:tcBorders>
              <w:left w:val="single" w:color="auto" w:sz="4" w:space="0"/>
              <w:right w:val="single" w:color="auto" w:sz="4" w:space="0"/>
            </w:tcBorders>
            <w:shd w:val="clear" w:color="auto" w:fill="auto"/>
            <w:vAlign w:val="center"/>
          </w:tcPr>
          <w:p w14:paraId="44B1E68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56BD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F13FC68">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58C80DD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起重机和动芦绳、和滑轮的选择</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B10AA9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GB/T34029-2017</w:t>
            </w:r>
          </w:p>
        </w:tc>
        <w:tc>
          <w:tcPr>
            <w:tcW w:w="670" w:type="dxa"/>
            <w:vMerge w:val="continue"/>
            <w:tcBorders>
              <w:left w:val="single" w:color="auto" w:sz="4" w:space="0"/>
              <w:right w:val="single" w:color="auto" w:sz="4" w:space="0"/>
            </w:tcBorders>
            <w:shd w:val="clear" w:color="auto" w:fill="auto"/>
            <w:vAlign w:val="center"/>
          </w:tcPr>
          <w:p w14:paraId="21B0D45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8323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E92E7BB">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9EF918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起重机用钢丝绳</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1C2AD3E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GM/T3418-2017</w:t>
            </w:r>
          </w:p>
        </w:tc>
        <w:tc>
          <w:tcPr>
            <w:tcW w:w="670" w:type="dxa"/>
            <w:vMerge w:val="continue"/>
            <w:tcBorders>
              <w:left w:val="single" w:color="auto" w:sz="4" w:space="0"/>
              <w:right w:val="single" w:color="auto" w:sz="4" w:space="0"/>
            </w:tcBorders>
            <w:shd w:val="clear" w:color="auto" w:fill="auto"/>
            <w:vAlign w:val="center"/>
          </w:tcPr>
          <w:p w14:paraId="6366007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68FF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0D041B7">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209E9B3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起重机钢丝绳保养、维护、检验和报废</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00B4EE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5972-2016</w:t>
            </w:r>
          </w:p>
        </w:tc>
        <w:tc>
          <w:tcPr>
            <w:tcW w:w="670" w:type="dxa"/>
            <w:vMerge w:val="continue"/>
            <w:tcBorders>
              <w:left w:val="single" w:color="auto" w:sz="4" w:space="0"/>
              <w:right w:val="single" w:color="auto" w:sz="4" w:space="0"/>
            </w:tcBorders>
            <w:shd w:val="clear" w:color="auto" w:fill="auto"/>
            <w:vAlign w:val="center"/>
          </w:tcPr>
          <w:p w14:paraId="00F8E56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6195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C3156CB">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CD6849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起重机检查第1部分；总则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1BD0EF2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GB/T23723.1-2016</w:t>
            </w:r>
          </w:p>
        </w:tc>
        <w:tc>
          <w:tcPr>
            <w:tcW w:w="670" w:type="dxa"/>
            <w:vMerge w:val="continue"/>
            <w:tcBorders>
              <w:left w:val="single" w:color="auto" w:sz="4" w:space="0"/>
              <w:right w:val="single" w:color="auto" w:sz="4" w:space="0"/>
            </w:tcBorders>
            <w:shd w:val="clear" w:color="auto" w:fill="auto"/>
            <w:vAlign w:val="center"/>
          </w:tcPr>
          <w:p w14:paraId="160C033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5082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16F7960">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457D745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起重机械检查与维护规程 第7部分；杆起重机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9F909D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20303.1-2016</w:t>
            </w:r>
          </w:p>
        </w:tc>
        <w:tc>
          <w:tcPr>
            <w:tcW w:w="670" w:type="dxa"/>
            <w:vMerge w:val="continue"/>
            <w:tcBorders>
              <w:left w:val="single" w:color="auto" w:sz="4" w:space="0"/>
              <w:right w:val="single" w:color="auto" w:sz="4" w:space="0"/>
            </w:tcBorders>
            <w:shd w:val="clear" w:color="auto" w:fill="auto"/>
            <w:vAlign w:val="center"/>
          </w:tcPr>
          <w:p w14:paraId="16AAAA2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490F9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01922E0A">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55AE523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起重机械检查与维护规程第10部分；轻小型起重设备</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13BA5F6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20303.1-2016</w:t>
            </w:r>
          </w:p>
        </w:tc>
        <w:tc>
          <w:tcPr>
            <w:tcW w:w="670" w:type="dxa"/>
            <w:vMerge w:val="continue"/>
            <w:tcBorders>
              <w:left w:val="single" w:color="auto" w:sz="4" w:space="0"/>
              <w:right w:val="single" w:color="auto" w:sz="4" w:space="0"/>
            </w:tcBorders>
            <w:shd w:val="clear" w:color="auto" w:fill="auto"/>
            <w:vAlign w:val="center"/>
          </w:tcPr>
          <w:p w14:paraId="3D6EF1F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2327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0F0D84DC">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BCC488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起重机械检查与维护规程第1部分；总则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BB12FA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GB/T31052.10-2016</w:t>
            </w:r>
          </w:p>
        </w:tc>
        <w:tc>
          <w:tcPr>
            <w:tcW w:w="670" w:type="dxa"/>
            <w:vMerge w:val="continue"/>
            <w:tcBorders>
              <w:left w:val="single" w:color="auto" w:sz="4" w:space="0"/>
              <w:right w:val="single" w:color="auto" w:sz="4" w:space="0"/>
            </w:tcBorders>
            <w:shd w:val="clear" w:color="auto" w:fill="auto"/>
            <w:vAlign w:val="center"/>
          </w:tcPr>
          <w:p w14:paraId="171B934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5F65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DC71C59">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4C111CC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工作和非工作状态下的锚定装置第1部分；总则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5A3C2E2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31052.1-2014</w:t>
            </w:r>
          </w:p>
        </w:tc>
        <w:tc>
          <w:tcPr>
            <w:tcW w:w="670" w:type="dxa"/>
            <w:vMerge w:val="continue"/>
            <w:tcBorders>
              <w:left w:val="single" w:color="auto" w:sz="4" w:space="0"/>
              <w:right w:val="single" w:color="auto" w:sz="4" w:space="0"/>
            </w:tcBorders>
            <w:shd w:val="clear" w:color="auto" w:fill="auto"/>
            <w:vAlign w:val="center"/>
          </w:tcPr>
          <w:p w14:paraId="3E2E853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7F50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54EB484">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D2ABEE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起重机械用电力驱动起升机构能效测试方法</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1A783A9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31051.1-2014</w:t>
            </w:r>
          </w:p>
        </w:tc>
        <w:tc>
          <w:tcPr>
            <w:tcW w:w="670" w:type="dxa"/>
            <w:vMerge w:val="continue"/>
            <w:tcBorders>
              <w:left w:val="single" w:color="auto" w:sz="4" w:space="0"/>
              <w:right w:val="single" w:color="auto" w:sz="4" w:space="0"/>
            </w:tcBorders>
            <w:shd w:val="clear" w:color="auto" w:fill="auto"/>
            <w:vAlign w:val="center"/>
          </w:tcPr>
          <w:p w14:paraId="1473BF7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674EE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506F879">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48673EF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起重机械用电动机能效测试方法第3部分；锥形转子三相异步电动机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5CAEE48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29562.3-2013</w:t>
            </w:r>
          </w:p>
        </w:tc>
        <w:tc>
          <w:tcPr>
            <w:tcW w:w="670" w:type="dxa"/>
            <w:vMerge w:val="continue"/>
            <w:tcBorders>
              <w:left w:val="single" w:color="auto" w:sz="4" w:space="0"/>
              <w:right w:val="single" w:color="auto" w:sz="4" w:space="0"/>
            </w:tcBorders>
            <w:shd w:val="clear" w:color="auto" w:fill="auto"/>
            <w:vAlign w:val="center"/>
          </w:tcPr>
          <w:p w14:paraId="3CCD237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11DC5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9D086D3">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77AB12A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通道及安全防护设施第1部分；总则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815AA4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24818.1-2009</w:t>
            </w:r>
          </w:p>
        </w:tc>
        <w:tc>
          <w:tcPr>
            <w:tcW w:w="670" w:type="dxa"/>
            <w:vMerge w:val="continue"/>
            <w:tcBorders>
              <w:left w:val="single" w:color="auto" w:sz="4" w:space="0"/>
              <w:right w:val="single" w:color="auto" w:sz="4" w:space="0"/>
            </w:tcBorders>
            <w:shd w:val="clear" w:color="auto" w:fill="auto"/>
            <w:vAlign w:val="center"/>
          </w:tcPr>
          <w:p w14:paraId="0317F96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1817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5B4B089">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4E4EE8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通道及安全防护设施第5部分；桥式和门式起重机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B3AFAD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24818.5-2009</w:t>
            </w:r>
          </w:p>
        </w:tc>
        <w:tc>
          <w:tcPr>
            <w:tcW w:w="670" w:type="dxa"/>
            <w:vMerge w:val="continue"/>
            <w:tcBorders>
              <w:left w:val="single" w:color="auto" w:sz="4" w:space="0"/>
              <w:right w:val="single" w:color="auto" w:sz="4" w:space="0"/>
            </w:tcBorders>
            <w:shd w:val="clear" w:color="auto" w:fill="auto"/>
            <w:vAlign w:val="center"/>
          </w:tcPr>
          <w:p w14:paraId="7EE9956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40D3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E6C75F8">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E5A753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载荷与载荷组合的设计原则第5部分；桥式和门式起重机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0F106F6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GB/T22437.5-2008</w:t>
            </w:r>
          </w:p>
        </w:tc>
        <w:tc>
          <w:tcPr>
            <w:tcW w:w="670" w:type="dxa"/>
            <w:vMerge w:val="continue"/>
            <w:tcBorders>
              <w:left w:val="single" w:color="auto" w:sz="4" w:space="0"/>
              <w:right w:val="single" w:color="auto" w:sz="4" w:space="0"/>
            </w:tcBorders>
            <w:shd w:val="clear" w:color="auto" w:fill="auto"/>
            <w:vAlign w:val="center"/>
          </w:tcPr>
          <w:p w14:paraId="7E75E2D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AAE1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744D231">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474561B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分级第5部分；桥式和门式起重机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83D309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20863.5-2007</w:t>
            </w:r>
          </w:p>
        </w:tc>
        <w:tc>
          <w:tcPr>
            <w:tcW w:w="670" w:type="dxa"/>
            <w:vMerge w:val="continue"/>
            <w:tcBorders>
              <w:left w:val="single" w:color="auto" w:sz="4" w:space="0"/>
              <w:right w:val="single" w:color="auto" w:sz="4" w:space="0"/>
            </w:tcBorders>
            <w:shd w:val="clear" w:color="auto" w:fill="auto"/>
            <w:vAlign w:val="center"/>
          </w:tcPr>
          <w:p w14:paraId="486B8B2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63DE4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06F77F1">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C639B8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桥式和门式起重机 制造及轨道安装公差</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58AA50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10183-2005</w:t>
            </w:r>
          </w:p>
        </w:tc>
        <w:tc>
          <w:tcPr>
            <w:tcW w:w="670" w:type="dxa"/>
            <w:vMerge w:val="continue"/>
            <w:tcBorders>
              <w:left w:val="single" w:color="auto" w:sz="4" w:space="0"/>
              <w:right w:val="single" w:color="auto" w:sz="4" w:space="0"/>
            </w:tcBorders>
            <w:shd w:val="clear" w:color="auto" w:fill="auto"/>
            <w:vAlign w:val="center"/>
          </w:tcPr>
          <w:p w14:paraId="1B088A1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7F1C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950F8A9">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048D94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备件手册</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FEED2F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18875-2002</w:t>
            </w:r>
          </w:p>
        </w:tc>
        <w:tc>
          <w:tcPr>
            <w:tcW w:w="670" w:type="dxa"/>
            <w:vMerge w:val="continue"/>
            <w:tcBorders>
              <w:left w:val="single" w:color="auto" w:sz="4" w:space="0"/>
              <w:right w:val="single" w:color="auto" w:sz="4" w:space="0"/>
            </w:tcBorders>
            <w:shd w:val="clear" w:color="auto" w:fill="auto"/>
            <w:vAlign w:val="center"/>
          </w:tcPr>
          <w:p w14:paraId="3C9D2E4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642C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8B1446F">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431CC5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维护手册第1部分；总则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898777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18453-2001</w:t>
            </w:r>
          </w:p>
        </w:tc>
        <w:tc>
          <w:tcPr>
            <w:tcW w:w="670" w:type="dxa"/>
            <w:vMerge w:val="continue"/>
            <w:tcBorders>
              <w:left w:val="single" w:color="auto" w:sz="4" w:space="0"/>
              <w:right w:val="single" w:color="auto" w:sz="4" w:space="0"/>
            </w:tcBorders>
            <w:shd w:val="clear" w:color="auto" w:fill="auto"/>
            <w:vAlign w:val="center"/>
          </w:tcPr>
          <w:p w14:paraId="79B862E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5AD7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019DD7D">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47E86F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起重机和起重机械 技术性能和验收文件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CEF8D0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17908-1999</w:t>
            </w:r>
          </w:p>
        </w:tc>
        <w:tc>
          <w:tcPr>
            <w:tcW w:w="670" w:type="dxa"/>
            <w:vMerge w:val="restart"/>
            <w:tcBorders>
              <w:left w:val="single" w:color="auto" w:sz="4" w:space="0"/>
              <w:right w:val="single" w:color="auto" w:sz="4" w:space="0"/>
            </w:tcBorders>
            <w:shd w:val="clear" w:color="auto" w:fill="auto"/>
            <w:vAlign w:val="center"/>
          </w:tcPr>
          <w:p w14:paraId="725FEC0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7C07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9ADF908">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D850B6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电动桥式起重机跨度和起升高度系列</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59F6011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790-1995</w:t>
            </w:r>
          </w:p>
        </w:tc>
        <w:tc>
          <w:tcPr>
            <w:tcW w:w="670" w:type="dxa"/>
            <w:vMerge w:val="continue"/>
            <w:tcBorders>
              <w:left w:val="single" w:color="auto" w:sz="4" w:space="0"/>
              <w:right w:val="single" w:color="auto" w:sz="4" w:space="0"/>
            </w:tcBorders>
            <w:shd w:val="clear" w:color="auto" w:fill="auto"/>
            <w:vAlign w:val="center"/>
          </w:tcPr>
          <w:p w14:paraId="424FDCC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26BA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D0A8D21">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4925EE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电气设备安全设计导则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53428EF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GB/T25295-2010</w:t>
            </w:r>
          </w:p>
        </w:tc>
        <w:tc>
          <w:tcPr>
            <w:tcW w:w="670" w:type="dxa"/>
            <w:vMerge w:val="continue"/>
            <w:tcBorders>
              <w:left w:val="single" w:color="auto" w:sz="4" w:space="0"/>
              <w:right w:val="single" w:color="auto" w:sz="4" w:space="0"/>
            </w:tcBorders>
            <w:shd w:val="clear" w:color="auto" w:fill="auto"/>
            <w:vAlign w:val="center"/>
          </w:tcPr>
          <w:p w14:paraId="0BEC2DF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4F3F3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E150527">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trike/>
                <w:dstrike w:val="0"/>
                <w:sz w:val="21"/>
                <w:szCs w:val="21"/>
                <w:highlight w:val="none"/>
                <w:lang w:bidi="ar"/>
              </w:rPr>
            </w:pPr>
            <w:r>
              <w:rPr>
                <w:rFonts w:hint="eastAsia" w:ascii="仿宋" w:hAnsi="仿宋" w:eastAsia="仿宋" w:cs="仿宋"/>
                <w:color w:val="000000" w:themeColor="text1"/>
                <w:sz w:val="21"/>
                <w:szCs w:val="21"/>
                <w:highlight w:val="none"/>
                <w:lang w:val="en-US" w:eastAsia="zh-CN" w:bidi="ar"/>
                <w14:textFill>
                  <w14:solidFill>
                    <w14:schemeClr w14:val="tx1"/>
                  </w14:solidFill>
                </w14:textFill>
              </w:rPr>
              <w:t>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495FEF9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trike/>
                <w:dstrike w:val="0"/>
                <w:sz w:val="21"/>
                <w:szCs w:val="21"/>
                <w:highlight w:val="none"/>
                <w:lang w:bidi="ar"/>
              </w:rPr>
            </w:pPr>
            <w:r>
              <w:rPr>
                <w:rFonts w:hint="eastAsia" w:ascii="仿宋" w:hAnsi="仿宋" w:eastAsia="仿宋" w:cs="仿宋"/>
                <w:color w:val="000000" w:themeColor="text1"/>
                <w:sz w:val="21"/>
                <w:szCs w:val="21"/>
                <w:highlight w:val="none"/>
                <w:lang w:bidi="ar"/>
                <w14:textFill>
                  <w14:solidFill>
                    <w14:schemeClr w14:val="tx1"/>
                  </w14:solidFill>
                </w14:textFill>
              </w:rPr>
              <w:t>《起重机安全起重吊具》</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17419C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trike/>
                <w:dstrike w:val="0"/>
                <w:sz w:val="21"/>
                <w:szCs w:val="21"/>
                <w:highlight w:val="none"/>
                <w:lang w:bidi="ar"/>
              </w:rPr>
            </w:pPr>
            <w:r>
              <w:rPr>
                <w:rFonts w:hint="eastAsia" w:ascii="仿宋" w:hAnsi="仿宋" w:eastAsia="仿宋" w:cs="仿宋"/>
                <w:color w:val="000000" w:themeColor="text1"/>
                <w:sz w:val="21"/>
                <w:szCs w:val="21"/>
                <w:highlight w:val="none"/>
                <w:lang w:bidi="ar"/>
                <w14:textFill>
                  <w14:solidFill>
                    <w14:schemeClr w14:val="tx1"/>
                  </w14:solidFill>
                </w14:textFill>
              </w:rPr>
              <w:t>GB/T 41098-2021</w:t>
            </w:r>
          </w:p>
        </w:tc>
        <w:tc>
          <w:tcPr>
            <w:tcW w:w="670" w:type="dxa"/>
            <w:vMerge w:val="continue"/>
            <w:tcBorders>
              <w:left w:val="single" w:color="auto" w:sz="4" w:space="0"/>
              <w:right w:val="single" w:color="auto" w:sz="4" w:space="0"/>
            </w:tcBorders>
            <w:shd w:val="clear" w:color="auto" w:fill="auto"/>
            <w:vAlign w:val="center"/>
          </w:tcPr>
          <w:p w14:paraId="2BC5945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1FEC1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07F0E74">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B52B6F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起重机械安全监控管理系统</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F378F3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GB/T28264-2017</w:t>
            </w:r>
          </w:p>
        </w:tc>
        <w:tc>
          <w:tcPr>
            <w:tcW w:w="670" w:type="dxa"/>
            <w:vMerge w:val="continue"/>
            <w:tcBorders>
              <w:left w:val="single" w:color="auto" w:sz="4" w:space="0"/>
              <w:right w:val="single" w:color="auto" w:sz="4" w:space="0"/>
            </w:tcBorders>
            <w:shd w:val="clear" w:color="auto" w:fill="auto"/>
            <w:vAlign w:val="center"/>
          </w:tcPr>
          <w:p w14:paraId="3A848B6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49DC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E191D48">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E0E2FE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气焊、手工焊及气保焊焊缝坡口基本形式与尺寸</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17F3C57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GB986-1998</w:t>
            </w:r>
          </w:p>
        </w:tc>
        <w:tc>
          <w:tcPr>
            <w:tcW w:w="670" w:type="dxa"/>
            <w:vMerge w:val="continue"/>
            <w:tcBorders>
              <w:left w:val="single" w:color="auto" w:sz="4" w:space="0"/>
              <w:right w:val="single" w:color="auto" w:sz="4" w:space="0"/>
            </w:tcBorders>
            <w:shd w:val="clear" w:color="auto" w:fill="auto"/>
            <w:vAlign w:val="center"/>
          </w:tcPr>
          <w:p w14:paraId="0CF3FC5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EAF1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383EA8F">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B3E80E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旋转电机整体结构的防护等级</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5566424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GB/T4942.1-2006</w:t>
            </w:r>
          </w:p>
        </w:tc>
        <w:tc>
          <w:tcPr>
            <w:tcW w:w="670" w:type="dxa"/>
            <w:vMerge w:val="continue"/>
            <w:tcBorders>
              <w:left w:val="single" w:color="auto" w:sz="4" w:space="0"/>
              <w:right w:val="single" w:color="auto" w:sz="4" w:space="0"/>
            </w:tcBorders>
            <w:shd w:val="clear" w:color="auto" w:fill="auto"/>
            <w:vAlign w:val="center"/>
          </w:tcPr>
          <w:p w14:paraId="5B1964F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6B83B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4B68E5C">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626708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供配电系统设计规范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DF0737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GB50052-2016</w:t>
            </w:r>
          </w:p>
        </w:tc>
        <w:tc>
          <w:tcPr>
            <w:tcW w:w="670" w:type="dxa"/>
            <w:vMerge w:val="continue"/>
            <w:tcBorders>
              <w:left w:val="single" w:color="auto" w:sz="4" w:space="0"/>
              <w:right w:val="single" w:color="auto" w:sz="4" w:space="0"/>
            </w:tcBorders>
            <w:shd w:val="clear" w:color="auto" w:fill="auto"/>
            <w:vAlign w:val="center"/>
          </w:tcPr>
          <w:p w14:paraId="2D088C5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4033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423468C">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623F78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低压配电设计规范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16EEB8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GB50054-2011</w:t>
            </w:r>
          </w:p>
        </w:tc>
        <w:tc>
          <w:tcPr>
            <w:tcW w:w="670" w:type="dxa"/>
            <w:vMerge w:val="continue"/>
            <w:tcBorders>
              <w:left w:val="single" w:color="auto" w:sz="4" w:space="0"/>
              <w:right w:val="single" w:color="auto" w:sz="4" w:space="0"/>
            </w:tcBorders>
            <w:shd w:val="clear" w:color="auto" w:fill="auto"/>
            <w:vAlign w:val="center"/>
          </w:tcPr>
          <w:p w14:paraId="7A32E90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EC27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E9EAD07">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29913E5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优质碳素结构钢</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A0784D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GB699-88</w:t>
            </w:r>
          </w:p>
        </w:tc>
        <w:tc>
          <w:tcPr>
            <w:tcW w:w="670" w:type="dxa"/>
            <w:vMerge w:val="continue"/>
            <w:tcBorders>
              <w:left w:val="single" w:color="auto" w:sz="4" w:space="0"/>
              <w:right w:val="single" w:color="auto" w:sz="4" w:space="0"/>
            </w:tcBorders>
            <w:shd w:val="clear" w:color="auto" w:fill="auto"/>
            <w:vAlign w:val="center"/>
          </w:tcPr>
          <w:p w14:paraId="2D9D361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1DCE4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00AE697E">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A56659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碳素结构钢</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6FCABA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GB700-88</w:t>
            </w:r>
          </w:p>
        </w:tc>
        <w:tc>
          <w:tcPr>
            <w:tcW w:w="670" w:type="dxa"/>
            <w:vMerge w:val="continue"/>
            <w:tcBorders>
              <w:left w:val="single" w:color="auto" w:sz="4" w:space="0"/>
              <w:right w:val="single" w:color="auto" w:sz="4" w:space="0"/>
            </w:tcBorders>
            <w:shd w:val="clear" w:color="auto" w:fill="auto"/>
            <w:vAlign w:val="center"/>
          </w:tcPr>
          <w:p w14:paraId="7B294D1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BB4E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3891084D">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AE455B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起重机车轮</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09BF94D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JB/T6392-2008</w:t>
            </w:r>
          </w:p>
        </w:tc>
        <w:tc>
          <w:tcPr>
            <w:tcW w:w="670" w:type="dxa"/>
            <w:vMerge w:val="continue"/>
            <w:tcBorders>
              <w:left w:val="single" w:color="auto" w:sz="4" w:space="0"/>
              <w:right w:val="single" w:color="auto" w:sz="4" w:space="0"/>
            </w:tcBorders>
            <w:shd w:val="clear" w:color="auto" w:fill="auto"/>
            <w:vAlign w:val="center"/>
          </w:tcPr>
          <w:p w14:paraId="0AB6109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4F51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5CC8A77">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5D11E0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重要用途钢丝绳</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C47F6F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GB8918-2006</w:t>
            </w:r>
          </w:p>
        </w:tc>
        <w:tc>
          <w:tcPr>
            <w:tcW w:w="670" w:type="dxa"/>
            <w:vMerge w:val="continue"/>
            <w:tcBorders>
              <w:left w:val="single" w:color="auto" w:sz="4" w:space="0"/>
              <w:right w:val="single" w:color="auto" w:sz="4" w:space="0"/>
            </w:tcBorders>
            <w:shd w:val="clear" w:color="auto" w:fill="auto"/>
            <w:vAlign w:val="center"/>
          </w:tcPr>
          <w:p w14:paraId="57DC5B8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7580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3312C935">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C1744A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低合金结构钢</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28A1D27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GB1348-88</w:t>
            </w:r>
          </w:p>
        </w:tc>
        <w:tc>
          <w:tcPr>
            <w:tcW w:w="670" w:type="dxa"/>
            <w:vMerge w:val="continue"/>
            <w:tcBorders>
              <w:left w:val="single" w:color="auto" w:sz="4" w:space="0"/>
              <w:right w:val="single" w:color="auto" w:sz="4" w:space="0"/>
            </w:tcBorders>
            <w:shd w:val="clear" w:color="auto" w:fill="auto"/>
            <w:vAlign w:val="center"/>
          </w:tcPr>
          <w:p w14:paraId="1AD0BD8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19ECE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72BD7CA">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2CAC0A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一般工程用铸造碳钢件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258C1A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GB11352-89</w:t>
            </w:r>
          </w:p>
        </w:tc>
        <w:tc>
          <w:tcPr>
            <w:tcW w:w="670" w:type="dxa"/>
            <w:vMerge w:val="continue"/>
            <w:tcBorders>
              <w:left w:val="single" w:color="auto" w:sz="4" w:space="0"/>
              <w:right w:val="single" w:color="auto" w:sz="4" w:space="0"/>
            </w:tcBorders>
            <w:shd w:val="clear" w:color="auto" w:fill="auto"/>
            <w:vAlign w:val="center"/>
          </w:tcPr>
          <w:p w14:paraId="76B7123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609D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6F342A3">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7C6B83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起重机用三合一减速器检验标准与规范(3)</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0E8973C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J8/T9003-2004</w:t>
            </w:r>
          </w:p>
        </w:tc>
        <w:tc>
          <w:tcPr>
            <w:tcW w:w="670" w:type="dxa"/>
            <w:vMerge w:val="continue"/>
            <w:tcBorders>
              <w:left w:val="single" w:color="auto" w:sz="4" w:space="0"/>
              <w:right w:val="single" w:color="auto" w:sz="4" w:space="0"/>
            </w:tcBorders>
            <w:shd w:val="clear" w:color="auto" w:fill="auto"/>
            <w:vAlign w:val="center"/>
          </w:tcPr>
          <w:p w14:paraId="3474323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7C98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0B97A68">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trike w:val="0"/>
                <w:dstrike w:val="0"/>
                <w:sz w:val="21"/>
                <w:szCs w:val="21"/>
                <w:highlight w:val="none"/>
                <w:lang w:bidi="ar"/>
              </w:rPr>
              <w:t>68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A0B337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钢熔化焊对接头射线照相和质量分级</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E5124A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GB/T3323-2005</w:t>
            </w:r>
          </w:p>
        </w:tc>
        <w:tc>
          <w:tcPr>
            <w:tcW w:w="670" w:type="dxa"/>
            <w:vMerge w:val="continue"/>
            <w:tcBorders>
              <w:left w:val="single" w:color="auto" w:sz="4" w:space="0"/>
              <w:right w:val="single" w:color="auto" w:sz="4" w:space="0"/>
            </w:tcBorders>
            <w:shd w:val="clear" w:color="auto" w:fill="auto"/>
            <w:vAlign w:val="center"/>
          </w:tcPr>
          <w:p w14:paraId="728603E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7AD9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26A3CA2">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890B5F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焊缝无损检测技术、检测等级和评定</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A7C708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GB11345-2013</w:t>
            </w:r>
          </w:p>
        </w:tc>
        <w:tc>
          <w:tcPr>
            <w:tcW w:w="670" w:type="dxa"/>
            <w:vMerge w:val="continue"/>
            <w:tcBorders>
              <w:left w:val="single" w:color="auto" w:sz="4" w:space="0"/>
              <w:right w:val="single" w:color="auto" w:sz="4" w:space="0"/>
            </w:tcBorders>
            <w:shd w:val="clear" w:color="auto" w:fill="auto"/>
            <w:vAlign w:val="center"/>
          </w:tcPr>
          <w:p w14:paraId="27C435F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1DD91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1047B7B">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B56945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涂覆涂料前钢材表面处理</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669CE6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GB/T8923.2-2008</w:t>
            </w:r>
          </w:p>
        </w:tc>
        <w:tc>
          <w:tcPr>
            <w:tcW w:w="670" w:type="dxa"/>
            <w:vMerge w:val="continue"/>
            <w:tcBorders>
              <w:left w:val="single" w:color="auto" w:sz="4" w:space="0"/>
              <w:right w:val="single" w:color="auto" w:sz="4" w:space="0"/>
            </w:tcBorders>
            <w:shd w:val="clear" w:color="auto" w:fill="auto"/>
            <w:vAlign w:val="center"/>
          </w:tcPr>
          <w:p w14:paraId="6C8ECF9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46261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55859D2">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7ED758C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起重设备安装工程施工及验收规范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52C6404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GB50278-2010</w:t>
            </w:r>
          </w:p>
        </w:tc>
        <w:tc>
          <w:tcPr>
            <w:tcW w:w="670" w:type="dxa"/>
            <w:vMerge w:val="restart"/>
            <w:tcBorders>
              <w:left w:val="single" w:color="auto" w:sz="4" w:space="0"/>
              <w:right w:val="single" w:color="auto" w:sz="4" w:space="0"/>
            </w:tcBorders>
            <w:shd w:val="clear" w:color="auto" w:fill="auto"/>
            <w:vAlign w:val="center"/>
          </w:tcPr>
          <w:p w14:paraId="0A66C03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11060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B615FFE">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840E51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电气装置安装工程起重机电气装置施工及验收规范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0E2633F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GB50256-2014</w:t>
            </w:r>
          </w:p>
        </w:tc>
        <w:tc>
          <w:tcPr>
            <w:tcW w:w="670" w:type="dxa"/>
            <w:vMerge w:val="continue"/>
            <w:tcBorders>
              <w:left w:val="single" w:color="auto" w:sz="4" w:space="0"/>
              <w:right w:val="single" w:color="auto" w:sz="4" w:space="0"/>
            </w:tcBorders>
            <w:shd w:val="clear" w:color="auto" w:fill="auto"/>
            <w:vAlign w:val="center"/>
          </w:tcPr>
          <w:p w14:paraId="78B4AEF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30A7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874C98E">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C6DC29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吊车轨道联结及车挡</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0E363C8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05G525</w:t>
            </w:r>
          </w:p>
        </w:tc>
        <w:tc>
          <w:tcPr>
            <w:tcW w:w="670" w:type="dxa"/>
            <w:vMerge w:val="continue"/>
            <w:tcBorders>
              <w:left w:val="single" w:color="auto" w:sz="4" w:space="0"/>
              <w:right w:val="single" w:color="auto" w:sz="4" w:space="0"/>
            </w:tcBorders>
            <w:shd w:val="clear" w:color="auto" w:fill="auto"/>
            <w:vAlign w:val="center"/>
          </w:tcPr>
          <w:p w14:paraId="0B9E862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bl>
    <w:p w14:paraId="0ED9B608">
      <w:pPr>
        <w:spacing w:line="360" w:lineRule="exact"/>
        <w:rPr>
          <w:rFonts w:ascii="仿宋" w:hAnsi="仿宋" w:eastAsia="仿宋" w:cs="仿宋"/>
          <w:color w:val="000000" w:themeColor="text1"/>
          <w:sz w:val="21"/>
          <w14:textFill>
            <w14:solidFill>
              <w14:schemeClr w14:val="tx1"/>
            </w14:solidFill>
          </w14:textFill>
        </w:rPr>
      </w:pPr>
      <w:r>
        <w:rPr>
          <w:rFonts w:hint="eastAsia" w:ascii="仿宋" w:hAnsi="仿宋" w:eastAsia="仿宋" w:cs="仿宋"/>
          <w:color w:val="000000" w:themeColor="text1"/>
          <w:sz w:val="21"/>
          <w:lang w:bidi="ar"/>
          <w14:textFill>
            <w14:solidFill>
              <w14:schemeClr w14:val="tx1"/>
            </w14:solidFill>
          </w14:textFill>
        </w:rPr>
        <w:t>备注：1、如果有采用国际标准的货物，其执行标准由投标方提供、招标方确认。</w:t>
      </w:r>
    </w:p>
    <w:p w14:paraId="1ED400D5">
      <w:pPr>
        <w:snapToGrid w:val="0"/>
        <w:spacing w:line="360" w:lineRule="auto"/>
        <w:ind w:firstLine="422" w:firstLineChars="200"/>
        <w:outlineLvl w:val="1"/>
        <w:rPr>
          <w:rFonts w:ascii="仿宋" w:hAnsi="仿宋" w:eastAsia="仿宋" w:cs="仿宋"/>
          <w:b/>
          <w:bCs/>
          <w:color w:val="000000" w:themeColor="text1"/>
          <w14:textFill>
            <w14:solidFill>
              <w14:schemeClr w14:val="tx1"/>
            </w14:solidFill>
          </w14:textFill>
        </w:rPr>
      </w:pPr>
      <w:bookmarkStart w:id="225" w:name="_Toc73112401"/>
      <w:bookmarkStart w:id="226" w:name="_Toc20964"/>
      <w:bookmarkStart w:id="227" w:name="_Toc12125"/>
      <w:bookmarkStart w:id="228" w:name="_Toc32006"/>
      <w:bookmarkStart w:id="229" w:name="_Toc1883"/>
      <w:bookmarkStart w:id="230" w:name="_Toc6412"/>
      <w:bookmarkStart w:id="231" w:name="_Toc32758"/>
      <w:bookmarkStart w:id="232" w:name="_Toc5212"/>
      <w:bookmarkStart w:id="233" w:name="_Toc19476"/>
      <w:bookmarkStart w:id="234" w:name="_Toc22289"/>
      <w:bookmarkStart w:id="235" w:name="_Toc20016"/>
      <w:bookmarkStart w:id="236" w:name="_Toc23967"/>
      <w:bookmarkStart w:id="237" w:name="_Toc7623"/>
      <w:bookmarkStart w:id="238" w:name="_Toc7786"/>
      <w:bookmarkStart w:id="239" w:name="_Toc30383"/>
      <w:bookmarkStart w:id="240" w:name="_Toc29779"/>
      <w:bookmarkStart w:id="241" w:name="_Toc17231"/>
      <w:bookmarkStart w:id="242" w:name="_Toc17980"/>
      <w:bookmarkStart w:id="243" w:name="_Toc29247"/>
      <w:bookmarkStart w:id="244" w:name="_Toc4470"/>
      <w:bookmarkStart w:id="245" w:name="_Toc31630"/>
      <w:bookmarkStart w:id="246" w:name="_Toc5402"/>
      <w:bookmarkStart w:id="247" w:name="_Toc11599"/>
      <w:bookmarkStart w:id="248" w:name="_Toc14059"/>
      <w:bookmarkStart w:id="249" w:name="_Toc16137"/>
      <w:bookmarkStart w:id="250" w:name="_Toc1676"/>
      <w:bookmarkStart w:id="251" w:name="_Toc21638"/>
      <w:bookmarkStart w:id="252" w:name="_Toc19250"/>
      <w:bookmarkStart w:id="253" w:name="_Toc13423"/>
      <w:bookmarkStart w:id="254" w:name="_Toc27157"/>
      <w:bookmarkStart w:id="255" w:name="_Toc5441"/>
      <w:bookmarkStart w:id="256" w:name="_Toc7648"/>
      <w:bookmarkStart w:id="257" w:name="_Toc6030"/>
      <w:bookmarkStart w:id="258" w:name="_Toc26387"/>
      <w:bookmarkStart w:id="259" w:name="_Toc4217"/>
      <w:bookmarkStart w:id="260" w:name="_Toc19638"/>
      <w:bookmarkStart w:id="261" w:name="_Toc13103"/>
      <w:bookmarkStart w:id="262" w:name="_Toc3292"/>
      <w:bookmarkStart w:id="263" w:name="_Toc8461"/>
      <w:bookmarkStart w:id="264" w:name="_Toc1411"/>
      <w:bookmarkStart w:id="265" w:name="_Toc7895"/>
      <w:bookmarkStart w:id="266" w:name="_Toc27027"/>
      <w:bookmarkStart w:id="267" w:name="_Toc26406"/>
      <w:bookmarkStart w:id="268" w:name="_Toc12179"/>
      <w:r>
        <w:rPr>
          <w:rFonts w:hint="eastAsia" w:ascii="仿宋" w:hAnsi="仿宋" w:eastAsia="仿宋" w:cs="仿宋"/>
          <w:b/>
          <w:bCs/>
          <w:color w:val="000000" w:themeColor="text1"/>
          <w14:textFill>
            <w14:solidFill>
              <w14:schemeClr w14:val="tx1"/>
            </w14:solidFill>
          </w14:textFill>
        </w:rPr>
        <w:t>3技术规范</w:t>
      </w:r>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p>
    <w:p w14:paraId="71413643">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在基本要求和执行标准基础上，本技术标书对所采购的货物的技术及使用等方面作出如下要求：</w:t>
      </w:r>
    </w:p>
    <w:p w14:paraId="6F8659E7">
      <w:pPr>
        <w:pStyle w:val="19"/>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3.1功能用途：</w:t>
      </w:r>
    </w:p>
    <w:p w14:paraId="1A6D3047">
      <w:pPr>
        <w:pStyle w:val="19"/>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3.1.1</w:t>
      </w:r>
      <w:r>
        <w:rPr>
          <w:rFonts w:hint="eastAsia" w:ascii="仿宋" w:hAnsi="仿宋" w:eastAsia="仿宋" w:cs="仿宋"/>
          <w:color w:val="000000" w:themeColor="text1"/>
          <w14:textFill>
            <w14:solidFill>
              <w14:schemeClr w14:val="tx1"/>
            </w14:solidFill>
          </w14:textFill>
        </w:rPr>
        <w:t>铸铁二线、铸铁三线及曼一线柔性吊</w:t>
      </w:r>
      <w:r>
        <w:rPr>
          <w:rFonts w:hint="eastAsia" w:ascii="仿宋" w:hAnsi="仿宋" w:eastAsia="仿宋" w:cs="仿宋"/>
          <w:color w:val="000000" w:themeColor="text1"/>
          <w:lang w:eastAsia="zh-CN"/>
          <w14:textFill>
            <w14:solidFill>
              <w14:schemeClr w14:val="tx1"/>
            </w14:solidFill>
          </w14:textFill>
        </w:rPr>
        <w:t>纵轨</w:t>
      </w:r>
      <w:r>
        <w:rPr>
          <w:rFonts w:hint="eastAsia" w:ascii="仿宋" w:hAnsi="仿宋" w:eastAsia="仿宋" w:cs="仿宋"/>
          <w:color w:val="000000" w:themeColor="text1"/>
          <w14:textFill>
            <w14:solidFill>
              <w14:schemeClr w14:val="tx1"/>
            </w14:solidFill>
          </w14:textFill>
        </w:rPr>
        <w:t>南北方向排列，横</w:t>
      </w:r>
      <w:r>
        <w:rPr>
          <w:rFonts w:hint="eastAsia" w:ascii="仿宋" w:hAnsi="仿宋" w:eastAsia="仿宋" w:cs="仿宋"/>
          <w:color w:val="000000" w:themeColor="text1"/>
          <w:lang w:val="en-US" w:eastAsia="zh-CN"/>
          <w14:textFill>
            <w14:solidFill>
              <w14:schemeClr w14:val="tx1"/>
            </w14:solidFill>
          </w14:textFill>
        </w:rPr>
        <w:t>轨</w:t>
      </w:r>
      <w:r>
        <w:rPr>
          <w:rFonts w:hint="eastAsia" w:ascii="仿宋" w:hAnsi="仿宋" w:eastAsia="仿宋" w:cs="仿宋"/>
          <w:color w:val="000000" w:themeColor="text1"/>
          <w14:textFill>
            <w14:solidFill>
              <w14:schemeClr w14:val="tx1"/>
            </w14:solidFill>
          </w14:textFill>
        </w:rPr>
        <w:t>东西方向排列。压装线及清洗线柔性吊</w:t>
      </w:r>
      <w:r>
        <w:rPr>
          <w:rFonts w:hint="eastAsia" w:ascii="仿宋" w:hAnsi="仿宋" w:eastAsia="仿宋" w:cs="仿宋"/>
          <w:color w:val="000000" w:themeColor="text1"/>
          <w:lang w:eastAsia="zh-CN"/>
          <w14:textFill>
            <w14:solidFill>
              <w14:schemeClr w14:val="tx1"/>
            </w14:solidFill>
          </w14:textFill>
        </w:rPr>
        <w:t>纵轨</w:t>
      </w:r>
      <w:r>
        <w:rPr>
          <w:rFonts w:hint="eastAsia" w:ascii="仿宋" w:hAnsi="仿宋" w:eastAsia="仿宋" w:cs="仿宋"/>
          <w:color w:val="000000" w:themeColor="text1"/>
          <w14:textFill>
            <w14:solidFill>
              <w14:schemeClr w14:val="tx1"/>
            </w14:solidFill>
          </w14:textFill>
        </w:rPr>
        <w:t>东西方向排列，横梁南北方向排列。用于各种桥壳的吊运；</w:t>
      </w:r>
    </w:p>
    <w:p w14:paraId="25370ABE">
      <w:pPr>
        <w:pStyle w:val="19"/>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p>
    <w:p w14:paraId="5EF0C36B">
      <w:pPr>
        <w:pStyle w:val="19"/>
        <w:snapToGrid w:val="0"/>
        <w:spacing w:line="360" w:lineRule="auto"/>
        <w:ind w:firstLine="420" w:firstLineChars="200"/>
        <w:jc w:val="center"/>
      </w:pPr>
      <w:r>
        <w:drawing>
          <wp:inline distT="0" distB="0" distL="114300" distR="114300">
            <wp:extent cx="4202430" cy="5477510"/>
            <wp:effectExtent l="0" t="0" r="7620" b="8890"/>
            <wp:docPr id="3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
                    <pic:cNvPicPr>
                      <a:picLocks noChangeAspect="1"/>
                    </pic:cNvPicPr>
                  </pic:nvPicPr>
                  <pic:blipFill>
                    <a:blip r:embed="rId41"/>
                    <a:stretch>
                      <a:fillRect/>
                    </a:stretch>
                  </pic:blipFill>
                  <pic:spPr>
                    <a:xfrm>
                      <a:off x="0" y="0"/>
                      <a:ext cx="4202430" cy="5477510"/>
                    </a:xfrm>
                    <a:prstGeom prst="rect">
                      <a:avLst/>
                    </a:prstGeom>
                    <a:noFill/>
                    <a:ln>
                      <a:noFill/>
                    </a:ln>
                  </pic:spPr>
                </pic:pic>
              </a:graphicData>
            </a:graphic>
          </wp:inline>
        </w:drawing>
      </w:r>
    </w:p>
    <w:p w14:paraId="77BB997D">
      <w:pPr>
        <w:pStyle w:val="19"/>
        <w:snapToGrid w:val="0"/>
        <w:spacing w:line="360" w:lineRule="auto"/>
        <w:ind w:firstLine="420" w:firstLineChars="200"/>
        <w:rPr>
          <w:rFonts w:hint="eastAsia"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lang w:val="en-US" w:eastAsia="zh-CN"/>
          <w14:textFill>
            <w14:solidFill>
              <w14:schemeClr w14:val="tx1"/>
            </w14:solidFill>
          </w14:textFill>
        </w:rPr>
        <w:t>3.1.2在驱动桥装配三线：双级桥主减装配工位加装2套柔性吊。</w:t>
      </w:r>
    </w:p>
    <w:p w14:paraId="480D53AA">
      <w:pPr>
        <w:pStyle w:val="140"/>
        <w:spacing w:line="360" w:lineRule="auto"/>
        <w:ind w:left="0" w:leftChars="0" w:firstLine="0" w:firstLineChars="0"/>
      </w:pPr>
      <w:r>
        <w:drawing>
          <wp:inline distT="0" distB="0" distL="114300" distR="114300">
            <wp:extent cx="5262245" cy="1212215"/>
            <wp:effectExtent l="0" t="0" r="14605" b="698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2"/>
                    <a:stretch>
                      <a:fillRect/>
                    </a:stretch>
                  </pic:blipFill>
                  <pic:spPr>
                    <a:xfrm>
                      <a:off x="0" y="0"/>
                      <a:ext cx="5262245" cy="1212215"/>
                    </a:xfrm>
                    <a:prstGeom prst="rect">
                      <a:avLst/>
                    </a:prstGeom>
                    <a:noFill/>
                    <a:ln>
                      <a:noFill/>
                    </a:ln>
                  </pic:spPr>
                </pic:pic>
              </a:graphicData>
            </a:graphic>
          </wp:inline>
        </w:drawing>
      </w:r>
    </w:p>
    <w:p w14:paraId="6CCB849C">
      <w:pPr>
        <w:pStyle w:val="19"/>
        <w:snapToGrid w:val="0"/>
        <w:spacing w:line="360" w:lineRule="auto"/>
        <w:ind w:firstLine="420" w:firstLineChars="200"/>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3.1.2建设方案要求</w:t>
      </w:r>
    </w:p>
    <w:p w14:paraId="4CD194FD">
      <w:pPr>
        <w:pStyle w:val="19"/>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1）</w:t>
      </w:r>
      <w:r>
        <w:rPr>
          <w:rFonts w:hint="eastAsia" w:ascii="仿宋" w:hAnsi="仿宋" w:eastAsia="仿宋" w:cs="仿宋"/>
          <w:color w:val="000000" w:themeColor="text1"/>
          <w14:textFill>
            <w14:solidFill>
              <w14:schemeClr w14:val="tx1"/>
            </w14:solidFill>
          </w14:textFill>
        </w:rPr>
        <w:t>曼一线：对整线柔性吊纵轨、滑线进行更换，横轨长度8米，起升高度不低于3.8米</w:t>
      </w:r>
      <w:r>
        <w:rPr>
          <w:rFonts w:hint="eastAsia" w:ascii="仿宋" w:hAnsi="仿宋" w:eastAsia="仿宋" w:cs="仿宋"/>
          <w:color w:val="000000" w:themeColor="text1"/>
          <w:lang w:eastAsia="zh-CN"/>
          <w14:textFill>
            <w14:solidFill>
              <w14:schemeClr w14:val="tx1"/>
            </w14:solidFill>
          </w14:textFill>
        </w:rPr>
        <w:t>；</w:t>
      </w:r>
      <w:r>
        <w:rPr>
          <w:rFonts w:hint="eastAsia" w:ascii="仿宋" w:hAnsi="仿宋" w:eastAsia="仿宋" w:cs="仿宋"/>
          <w:color w:val="000000" w:themeColor="text1"/>
          <w14:textFill>
            <w14:solidFill>
              <w14:schemeClr w14:val="tx1"/>
            </w14:solidFill>
          </w14:textFill>
        </w:rPr>
        <w:t>纵轨</w:t>
      </w:r>
      <w:r>
        <w:rPr>
          <w:rFonts w:hint="eastAsia" w:ascii="仿宋" w:hAnsi="仿宋" w:eastAsia="仿宋" w:cs="仿宋"/>
          <w:color w:val="000000" w:themeColor="text1"/>
          <w:lang w:val="en-US" w:eastAsia="zh-CN"/>
          <w14:textFill>
            <w14:solidFill>
              <w14:schemeClr w14:val="tx1"/>
            </w14:solidFill>
          </w14:textFill>
        </w:rPr>
        <w:t>两根，每根106米</w:t>
      </w:r>
      <w:r>
        <w:rPr>
          <w:rFonts w:hint="eastAsia" w:ascii="仿宋" w:hAnsi="仿宋" w:eastAsia="仿宋" w:cs="仿宋"/>
          <w:color w:val="000000" w:themeColor="text1"/>
          <w14:textFill>
            <w14:solidFill>
              <w14:schemeClr w14:val="tx1"/>
            </w14:solidFill>
          </w14:textFill>
        </w:rPr>
        <w:t>，安装在现有钢结构上，跨度7米；更换现场7挂250kg柔性吊（含横轨），对剩余12挂柔性吊改造相应集电器及支架。</w:t>
      </w:r>
    </w:p>
    <w:p w14:paraId="05812B32">
      <w:pPr>
        <w:pStyle w:val="19"/>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2）</w:t>
      </w:r>
      <w:r>
        <w:rPr>
          <w:rFonts w:hint="eastAsia" w:ascii="仿宋" w:hAnsi="仿宋" w:eastAsia="仿宋" w:cs="仿宋"/>
          <w:color w:val="000000" w:themeColor="text1"/>
          <w14:textFill>
            <w14:solidFill>
              <w14:schemeClr w14:val="tx1"/>
            </w14:solidFill>
          </w14:textFill>
        </w:rPr>
        <w:t>铸铁二线：对整线柔性吊纵轨、滑线进行更换，横轨长度8米，起升高度不低于3.8米</w:t>
      </w:r>
      <w:r>
        <w:rPr>
          <w:rFonts w:hint="eastAsia" w:ascii="仿宋" w:hAnsi="仿宋" w:eastAsia="仿宋" w:cs="仿宋"/>
          <w:color w:val="000000" w:themeColor="text1"/>
          <w:lang w:eastAsia="zh-CN"/>
          <w14:textFill>
            <w14:solidFill>
              <w14:schemeClr w14:val="tx1"/>
            </w14:solidFill>
          </w14:textFill>
        </w:rPr>
        <w:t>；</w:t>
      </w:r>
      <w:r>
        <w:rPr>
          <w:rFonts w:hint="eastAsia" w:ascii="仿宋" w:hAnsi="仿宋" w:eastAsia="仿宋" w:cs="仿宋"/>
          <w:color w:val="000000" w:themeColor="text1"/>
          <w14:textFill>
            <w14:solidFill>
              <w14:schemeClr w14:val="tx1"/>
            </w14:solidFill>
          </w14:textFill>
        </w:rPr>
        <w:t>纵轨</w:t>
      </w:r>
      <w:r>
        <w:rPr>
          <w:rFonts w:hint="eastAsia" w:ascii="仿宋" w:hAnsi="仿宋" w:eastAsia="仿宋" w:cs="仿宋"/>
          <w:color w:val="000000" w:themeColor="text1"/>
          <w:lang w:val="en-US" w:eastAsia="zh-CN"/>
          <w14:textFill>
            <w14:solidFill>
              <w14:schemeClr w14:val="tx1"/>
            </w14:solidFill>
          </w14:textFill>
        </w:rPr>
        <w:t>两根，每根90米</w:t>
      </w:r>
      <w:r>
        <w:rPr>
          <w:rFonts w:hint="eastAsia" w:ascii="仿宋" w:hAnsi="仿宋" w:eastAsia="仿宋" w:cs="仿宋"/>
          <w:color w:val="000000" w:themeColor="text1"/>
          <w14:textFill>
            <w14:solidFill>
              <w14:schemeClr w14:val="tx1"/>
            </w14:solidFill>
          </w14:textFill>
        </w:rPr>
        <w:t>，安装在现有钢结构上，跨度7米；更换现场11挂250kg柔性吊（含横轨），对剩余1挂柔性吊改造相应集电器及支架。</w:t>
      </w:r>
    </w:p>
    <w:p w14:paraId="45DFF497">
      <w:pPr>
        <w:pStyle w:val="19"/>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w:t>
      </w:r>
      <w:r>
        <w:rPr>
          <w:rFonts w:hint="eastAsia" w:ascii="仿宋" w:hAnsi="仿宋" w:eastAsia="仿宋" w:cs="仿宋"/>
          <w:color w:val="000000" w:themeColor="text1"/>
          <w14:textFill>
            <w14:solidFill>
              <w14:schemeClr w14:val="tx1"/>
            </w14:solidFill>
          </w14:textFill>
        </w:rPr>
        <w:t>铸铁三线：对整线柔性吊纵轨、滑线进行更换，横轨长度8米，起升高度不低于3.8米</w:t>
      </w:r>
      <w:r>
        <w:rPr>
          <w:rFonts w:hint="eastAsia" w:ascii="仿宋" w:hAnsi="仿宋" w:eastAsia="仿宋" w:cs="仿宋"/>
          <w:color w:val="000000" w:themeColor="text1"/>
          <w:lang w:eastAsia="zh-CN"/>
          <w14:textFill>
            <w14:solidFill>
              <w14:schemeClr w14:val="tx1"/>
            </w14:solidFill>
          </w14:textFill>
        </w:rPr>
        <w:t>；</w:t>
      </w:r>
      <w:r>
        <w:rPr>
          <w:rFonts w:hint="eastAsia" w:ascii="仿宋" w:hAnsi="仿宋" w:eastAsia="仿宋" w:cs="仿宋"/>
          <w:color w:val="000000" w:themeColor="text1"/>
          <w14:textFill>
            <w14:solidFill>
              <w14:schemeClr w14:val="tx1"/>
            </w14:solidFill>
          </w14:textFill>
        </w:rPr>
        <w:t>纵轨</w:t>
      </w:r>
      <w:r>
        <w:rPr>
          <w:rFonts w:hint="eastAsia" w:ascii="仿宋" w:hAnsi="仿宋" w:eastAsia="仿宋" w:cs="仿宋"/>
          <w:color w:val="000000" w:themeColor="text1"/>
          <w:lang w:val="en-US" w:eastAsia="zh-CN"/>
          <w14:textFill>
            <w14:solidFill>
              <w14:schemeClr w14:val="tx1"/>
            </w14:solidFill>
          </w14:textFill>
        </w:rPr>
        <w:t>两根，每根80米</w:t>
      </w:r>
      <w:r>
        <w:rPr>
          <w:rFonts w:hint="eastAsia" w:ascii="仿宋" w:hAnsi="仿宋" w:eastAsia="仿宋" w:cs="仿宋"/>
          <w:color w:val="000000" w:themeColor="text1"/>
          <w14:textFill>
            <w14:solidFill>
              <w14:schemeClr w14:val="tx1"/>
            </w14:solidFill>
          </w14:textFill>
        </w:rPr>
        <w:t>，安装在现有钢结构上，跨度7米；更换现场10挂250kg柔性吊，对剩余2挂柔性吊改造相应集电器及支架。</w:t>
      </w:r>
    </w:p>
    <w:p w14:paraId="5EBAD4CE">
      <w:pPr>
        <w:pStyle w:val="19"/>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4）</w:t>
      </w:r>
      <w:r>
        <w:rPr>
          <w:rFonts w:hint="eastAsia" w:ascii="仿宋" w:hAnsi="仿宋" w:eastAsia="仿宋" w:cs="仿宋"/>
          <w:color w:val="000000" w:themeColor="text1"/>
          <w14:textFill>
            <w14:solidFill>
              <w14:schemeClr w14:val="tx1"/>
            </w14:solidFill>
          </w14:textFill>
        </w:rPr>
        <w:t>压装线：对整线柔性吊纵轨、滑线进行更换，横轨长度9米，起升高度不低于3.8米</w:t>
      </w:r>
      <w:r>
        <w:rPr>
          <w:rFonts w:hint="eastAsia" w:ascii="仿宋" w:hAnsi="仿宋" w:eastAsia="仿宋" w:cs="仿宋"/>
          <w:color w:val="000000" w:themeColor="text1"/>
          <w:lang w:eastAsia="zh-CN"/>
          <w14:textFill>
            <w14:solidFill>
              <w14:schemeClr w14:val="tx1"/>
            </w14:solidFill>
          </w14:textFill>
        </w:rPr>
        <w:t>；</w:t>
      </w:r>
      <w:r>
        <w:rPr>
          <w:rFonts w:hint="eastAsia" w:ascii="仿宋" w:hAnsi="仿宋" w:eastAsia="仿宋" w:cs="仿宋"/>
          <w:color w:val="000000" w:themeColor="text1"/>
          <w14:textFill>
            <w14:solidFill>
              <w14:schemeClr w14:val="tx1"/>
            </w14:solidFill>
          </w14:textFill>
        </w:rPr>
        <w:t>纵轨</w:t>
      </w:r>
      <w:r>
        <w:rPr>
          <w:rFonts w:hint="eastAsia" w:ascii="仿宋" w:hAnsi="仿宋" w:eastAsia="仿宋" w:cs="仿宋"/>
          <w:color w:val="000000" w:themeColor="text1"/>
          <w:lang w:val="en-US" w:eastAsia="zh-CN"/>
          <w14:textFill>
            <w14:solidFill>
              <w14:schemeClr w14:val="tx1"/>
            </w14:solidFill>
          </w14:textFill>
        </w:rPr>
        <w:t>两根，每根18米</w:t>
      </w:r>
      <w:r>
        <w:rPr>
          <w:rFonts w:hint="eastAsia" w:ascii="仿宋" w:hAnsi="仿宋" w:eastAsia="仿宋" w:cs="仿宋"/>
          <w:color w:val="000000" w:themeColor="text1"/>
          <w14:textFill>
            <w14:solidFill>
              <w14:schemeClr w14:val="tx1"/>
            </w14:solidFill>
          </w14:textFill>
        </w:rPr>
        <w:t>，安装在现有钢结构上，跨度8米；更换现场5挂250kg柔性吊（含横轨），对剩余5挂柔性吊改造相应集电器及支架。</w:t>
      </w:r>
    </w:p>
    <w:p w14:paraId="1A0DC960">
      <w:pPr>
        <w:pStyle w:val="19"/>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5）</w:t>
      </w:r>
      <w:r>
        <w:rPr>
          <w:rFonts w:hint="eastAsia" w:ascii="仿宋" w:hAnsi="仿宋" w:eastAsia="仿宋" w:cs="仿宋"/>
          <w:color w:val="000000" w:themeColor="text1"/>
          <w14:textFill>
            <w14:solidFill>
              <w14:schemeClr w14:val="tx1"/>
            </w14:solidFill>
          </w14:textFill>
        </w:rPr>
        <w:t>清洗线：对整线柔性吊纵轨、滑线进行更换，横轨长度8.5米，起升高度不低于3.8米</w:t>
      </w:r>
      <w:r>
        <w:rPr>
          <w:rFonts w:hint="eastAsia" w:ascii="仿宋" w:hAnsi="仿宋" w:eastAsia="仿宋" w:cs="仿宋"/>
          <w:color w:val="000000" w:themeColor="text1"/>
          <w:lang w:eastAsia="zh-CN"/>
          <w14:textFill>
            <w14:solidFill>
              <w14:schemeClr w14:val="tx1"/>
            </w14:solidFill>
          </w14:textFill>
        </w:rPr>
        <w:t>；</w:t>
      </w:r>
      <w:r>
        <w:rPr>
          <w:rFonts w:hint="eastAsia" w:ascii="仿宋" w:hAnsi="仿宋" w:eastAsia="仿宋" w:cs="仿宋"/>
          <w:color w:val="000000" w:themeColor="text1"/>
          <w14:textFill>
            <w14:solidFill>
              <w14:schemeClr w14:val="tx1"/>
            </w14:solidFill>
          </w14:textFill>
        </w:rPr>
        <w:t>纵轨</w:t>
      </w:r>
      <w:r>
        <w:rPr>
          <w:rFonts w:hint="eastAsia" w:ascii="仿宋" w:hAnsi="仿宋" w:eastAsia="仿宋" w:cs="仿宋"/>
          <w:color w:val="000000" w:themeColor="text1"/>
          <w:lang w:val="en-US" w:eastAsia="zh-CN"/>
          <w14:textFill>
            <w14:solidFill>
              <w14:schemeClr w14:val="tx1"/>
            </w14:solidFill>
          </w14:textFill>
        </w:rPr>
        <w:t>两根，每根24.5米</w:t>
      </w:r>
      <w:r>
        <w:rPr>
          <w:rFonts w:hint="eastAsia" w:ascii="仿宋" w:hAnsi="仿宋" w:eastAsia="仿宋" w:cs="仿宋"/>
          <w:color w:val="000000" w:themeColor="text1"/>
          <w14:textFill>
            <w14:solidFill>
              <w14:schemeClr w14:val="tx1"/>
            </w14:solidFill>
          </w14:textFill>
        </w:rPr>
        <w:t>，安装在现有钢结构上，跨度7米；更换现场3挂250kg柔性吊（含横轨），对剩余1挂柔性吊改造相应集电器及支架。</w:t>
      </w:r>
    </w:p>
    <w:p w14:paraId="7AFD57B5">
      <w:pPr>
        <w:pStyle w:val="19"/>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6）</w:t>
      </w:r>
      <w:r>
        <w:rPr>
          <w:rFonts w:hint="eastAsia" w:ascii="仿宋" w:hAnsi="仿宋" w:eastAsia="仿宋" w:cs="仿宋"/>
          <w:color w:val="000000" w:themeColor="text1"/>
          <w14:textFill>
            <w14:solidFill>
              <w14:schemeClr w14:val="tx1"/>
            </w14:solidFill>
          </w14:textFill>
        </w:rPr>
        <w:t>抛丸线：更换250kg环链电动葫芦7个。</w:t>
      </w:r>
    </w:p>
    <w:p w14:paraId="78CA5B80">
      <w:pPr>
        <w:pStyle w:val="19"/>
        <w:snapToGrid w:val="0"/>
        <w:spacing w:line="360" w:lineRule="auto"/>
        <w:ind w:firstLine="420" w:firstLineChars="200"/>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7）驱动桥装配三线：双级桥主减装配工位加装2个0.5T环链电动葫芦、1个8m横轨、新增3M纵轨以及集电器及支架等；其中1个电动葫芦安装在新增8m横轨上，横轨安装在现有纵轨上（跨度7.5米）；1个电动葫芦安装在新增纵轨上，纵轨固定在线体中线上方钢结构上。</w:t>
      </w:r>
    </w:p>
    <w:p w14:paraId="5FD46D25">
      <w:pPr>
        <w:pStyle w:val="19"/>
        <w:snapToGrid w:val="0"/>
        <w:spacing w:line="360" w:lineRule="auto"/>
        <w:ind w:left="0" w:leftChars="0" w:firstLine="0" w:firstLineChars="0"/>
        <w:rPr>
          <w:rFonts w:hint="eastAsia" w:ascii="仿宋" w:hAnsi="仿宋" w:eastAsia="仿宋" w:cs="仿宋"/>
          <w:color w:val="000000" w:themeColor="text1"/>
          <w:lang w:val="en-US" w:eastAsia="zh-CN"/>
          <w14:textFill>
            <w14:solidFill>
              <w14:schemeClr w14:val="tx1"/>
            </w14:solidFill>
          </w14:textFill>
        </w:rPr>
      </w:pPr>
      <w:r>
        <w:drawing>
          <wp:inline distT="0" distB="0" distL="114300" distR="114300">
            <wp:extent cx="5203190" cy="1242060"/>
            <wp:effectExtent l="0" t="0" r="16510" b="15240"/>
            <wp:docPr id="3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
                    <pic:cNvPicPr>
                      <a:picLocks noChangeAspect="1"/>
                    </pic:cNvPicPr>
                  </pic:nvPicPr>
                  <pic:blipFill>
                    <a:blip r:embed="rId43"/>
                    <a:stretch>
                      <a:fillRect/>
                    </a:stretch>
                  </pic:blipFill>
                  <pic:spPr>
                    <a:xfrm>
                      <a:off x="0" y="0"/>
                      <a:ext cx="5203190" cy="1242060"/>
                    </a:xfrm>
                    <a:prstGeom prst="rect">
                      <a:avLst/>
                    </a:prstGeom>
                    <a:noFill/>
                    <a:ln>
                      <a:noFill/>
                    </a:ln>
                  </pic:spPr>
                </pic:pic>
              </a:graphicData>
            </a:graphic>
          </wp:inline>
        </w:drawing>
      </w:r>
    </w:p>
    <w:p w14:paraId="4ABAD5E0">
      <w:pPr>
        <w:pStyle w:val="19"/>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柔性吊具体</w:t>
      </w:r>
      <w:r>
        <w:rPr>
          <w:rFonts w:hint="eastAsia" w:ascii="仿宋" w:hAnsi="仿宋" w:eastAsia="仿宋" w:cs="仿宋"/>
          <w:color w:val="000000" w:themeColor="text1"/>
          <w:lang w:val="en-US" w:eastAsia="zh-CN"/>
          <w14:textFill>
            <w14:solidFill>
              <w14:schemeClr w14:val="tx1"/>
            </w14:solidFill>
          </w14:textFill>
        </w:rPr>
        <w:t>数量归纳</w:t>
      </w:r>
      <w:r>
        <w:rPr>
          <w:rFonts w:hint="eastAsia" w:ascii="仿宋" w:hAnsi="仿宋" w:eastAsia="仿宋" w:cs="仿宋"/>
          <w:color w:val="000000" w:themeColor="text1"/>
          <w14:textFill>
            <w14:solidFill>
              <w14:schemeClr w14:val="tx1"/>
            </w14:solidFill>
          </w14:textFill>
        </w:rPr>
        <w:t>如下：</w:t>
      </w:r>
    </w:p>
    <w:tbl>
      <w:tblPr>
        <w:tblStyle w:val="36"/>
        <w:tblW w:w="813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196"/>
        <w:gridCol w:w="914"/>
        <w:gridCol w:w="876"/>
        <w:gridCol w:w="768"/>
        <w:gridCol w:w="892"/>
        <w:gridCol w:w="969"/>
        <w:gridCol w:w="1153"/>
        <w:gridCol w:w="1368"/>
      </w:tblGrid>
      <w:tr w14:paraId="498E0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jc w:val="center"/>
        </w:trPr>
        <w:tc>
          <w:tcPr>
            <w:tcW w:w="11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4D72887">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生产线</w:t>
            </w:r>
          </w:p>
        </w:tc>
        <w:tc>
          <w:tcPr>
            <w:tcW w:w="91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6BCA8A7">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规格</w:t>
            </w:r>
          </w:p>
        </w:tc>
        <w:tc>
          <w:tcPr>
            <w:tcW w:w="164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56E20DD">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纵轨</w:t>
            </w:r>
          </w:p>
        </w:tc>
        <w:tc>
          <w:tcPr>
            <w:tcW w:w="186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E66C983">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横轨</w:t>
            </w:r>
          </w:p>
        </w:tc>
        <w:tc>
          <w:tcPr>
            <w:tcW w:w="1153" w:type="dxa"/>
            <w:vMerge w:val="restart"/>
            <w:tcBorders>
              <w:top w:val="single" w:color="000000" w:sz="4" w:space="0"/>
              <w:left w:val="single" w:color="000000" w:sz="4" w:space="0"/>
              <w:right w:val="single" w:color="000000" w:sz="4" w:space="0"/>
            </w:tcBorders>
            <w:shd w:val="clear" w:color="auto" w:fill="auto"/>
            <w:tcMar>
              <w:top w:w="12" w:type="dxa"/>
              <w:left w:w="12" w:type="dxa"/>
              <w:bottom w:w="72" w:type="dxa"/>
              <w:right w:w="12" w:type="dxa"/>
            </w:tcMar>
            <w:vAlign w:val="center"/>
          </w:tcPr>
          <w:p w14:paraId="7FE4D733">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环链</w:t>
            </w:r>
          </w:p>
          <w:p w14:paraId="3D34744C">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吊葫芦</w:t>
            </w:r>
          </w:p>
          <w:p w14:paraId="7A5F813C">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/挂</w:t>
            </w:r>
          </w:p>
        </w:tc>
        <w:tc>
          <w:tcPr>
            <w:tcW w:w="1368" w:type="dxa"/>
            <w:vMerge w:val="restart"/>
            <w:tcBorders>
              <w:top w:val="single" w:color="000000" w:sz="4" w:space="0"/>
              <w:left w:val="single" w:color="000000" w:sz="4" w:space="0"/>
              <w:right w:val="single" w:color="000000" w:sz="4" w:space="0"/>
            </w:tcBorders>
            <w:shd w:val="clear" w:color="auto" w:fill="auto"/>
            <w:tcMar>
              <w:top w:w="12" w:type="dxa"/>
              <w:left w:w="12" w:type="dxa"/>
              <w:bottom w:w="72" w:type="dxa"/>
              <w:right w:w="12" w:type="dxa"/>
            </w:tcMar>
            <w:vAlign w:val="center"/>
          </w:tcPr>
          <w:p w14:paraId="5C1E8E08">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集电器</w:t>
            </w:r>
            <w:r>
              <w:rPr>
                <w:rFonts w:hint="eastAsia" w:ascii="仿宋" w:hAnsi="仿宋" w:eastAsia="仿宋" w:cs="仿宋"/>
                <w:color w:val="000000"/>
                <w:sz w:val="21"/>
                <w:szCs w:val="21"/>
                <w:lang w:eastAsia="zh-CN"/>
              </w:rPr>
              <w:t>、</w:t>
            </w:r>
            <w:r>
              <w:rPr>
                <w:rFonts w:hint="eastAsia" w:ascii="仿宋" w:hAnsi="仿宋" w:eastAsia="仿宋" w:cs="仿宋"/>
                <w:color w:val="000000" w:themeColor="text1"/>
                <w14:textFill>
                  <w14:solidFill>
                    <w14:schemeClr w14:val="tx1"/>
                  </w14:solidFill>
                </w14:textFill>
              </w:rPr>
              <w:t>支架</w:t>
            </w:r>
            <w:r>
              <w:rPr>
                <w:rFonts w:hint="eastAsia" w:ascii="仿宋" w:hAnsi="仿宋" w:eastAsia="仿宋" w:cs="仿宋"/>
                <w:color w:val="000000"/>
                <w:sz w:val="21"/>
                <w:szCs w:val="21"/>
              </w:rPr>
              <w:t>等附件</w:t>
            </w:r>
          </w:p>
        </w:tc>
      </w:tr>
      <w:tr w14:paraId="02B41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jc w:val="center"/>
        </w:trPr>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E10AA56">
            <w:pPr>
              <w:keepNext w:val="0"/>
              <w:keepLines w:val="0"/>
              <w:pageBreakBefore w:val="0"/>
              <w:widowControl/>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B015150">
            <w:pPr>
              <w:keepNext w:val="0"/>
              <w:keepLines w:val="0"/>
              <w:pageBreakBefore w:val="0"/>
              <w:widowControl/>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A52B083">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长度/m</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79BF34E">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跨距/m</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69DC26B">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数量/根</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2A2D262">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长</w:t>
            </w:r>
            <w:r>
              <w:rPr>
                <w:rFonts w:hint="eastAsia" w:ascii="仿宋" w:hAnsi="仿宋" w:eastAsia="仿宋" w:cs="仿宋"/>
                <w:color w:val="000000"/>
                <w:sz w:val="21"/>
                <w:szCs w:val="21"/>
                <w:lang w:val="en-US" w:eastAsia="zh-CN"/>
              </w:rPr>
              <w:t>：</w:t>
            </w:r>
            <w:r>
              <w:rPr>
                <w:rFonts w:hint="eastAsia" w:ascii="仿宋" w:hAnsi="仿宋" w:eastAsia="仿宋" w:cs="仿宋"/>
                <w:color w:val="000000"/>
                <w:sz w:val="21"/>
                <w:szCs w:val="21"/>
              </w:rPr>
              <w:t>m/根</w:t>
            </w:r>
          </w:p>
        </w:tc>
        <w:tc>
          <w:tcPr>
            <w:tcW w:w="1153" w:type="dxa"/>
            <w:vMerge w:val="continue"/>
            <w:tcBorders>
              <w:left w:val="single" w:color="000000" w:sz="4" w:space="0"/>
              <w:right w:val="single" w:color="000000" w:sz="4" w:space="0"/>
            </w:tcBorders>
            <w:shd w:val="clear" w:color="auto" w:fill="auto"/>
            <w:tcMar>
              <w:top w:w="12" w:type="dxa"/>
              <w:left w:w="12" w:type="dxa"/>
              <w:bottom w:w="72" w:type="dxa"/>
              <w:right w:w="12" w:type="dxa"/>
            </w:tcMar>
            <w:vAlign w:val="center"/>
          </w:tcPr>
          <w:p w14:paraId="19E4295D">
            <w:pPr>
              <w:keepNext w:val="0"/>
              <w:keepLines w:val="0"/>
              <w:pageBreakBefore w:val="0"/>
              <w:widowControl/>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p>
        </w:tc>
        <w:tc>
          <w:tcPr>
            <w:tcW w:w="1368" w:type="dxa"/>
            <w:vMerge w:val="continue"/>
            <w:tcBorders>
              <w:left w:val="single" w:color="000000" w:sz="4" w:space="0"/>
              <w:right w:val="single" w:color="000000" w:sz="4" w:space="0"/>
            </w:tcBorders>
            <w:shd w:val="clear" w:color="auto" w:fill="auto"/>
            <w:tcMar>
              <w:top w:w="12" w:type="dxa"/>
              <w:left w:w="12" w:type="dxa"/>
              <w:bottom w:w="72" w:type="dxa"/>
              <w:right w:w="12" w:type="dxa"/>
            </w:tcMar>
            <w:vAlign w:val="center"/>
          </w:tcPr>
          <w:p w14:paraId="02345DC6">
            <w:pPr>
              <w:keepNext w:val="0"/>
              <w:keepLines w:val="0"/>
              <w:pageBreakBefore w:val="0"/>
              <w:widowControl/>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p>
        </w:tc>
      </w:tr>
      <w:tr w14:paraId="229D6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jc w:val="center"/>
        </w:trPr>
        <w:tc>
          <w:tcPr>
            <w:tcW w:w="1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28D3010F">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曼一线</w:t>
            </w: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CD1C595">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250Kg</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CA8B4FF">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2×106</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2FC74F5C">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7</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0671D5B">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7</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542F058">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8</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8C0B42A">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7</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D4A1249">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12</w:t>
            </w:r>
          </w:p>
        </w:tc>
      </w:tr>
      <w:tr w14:paraId="5FB42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jc w:val="center"/>
        </w:trPr>
        <w:tc>
          <w:tcPr>
            <w:tcW w:w="1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14CCDD0">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铸铁二线</w:t>
            </w: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2D016485">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250Kg</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56580B6">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2×90</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A9A0C5C">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7</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F02C8C5">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11</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46EC2F8">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8</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70998E0">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11</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0187585">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1</w:t>
            </w:r>
          </w:p>
        </w:tc>
      </w:tr>
      <w:tr w14:paraId="5F42A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jc w:val="center"/>
        </w:trPr>
        <w:tc>
          <w:tcPr>
            <w:tcW w:w="1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05EC0A0">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铸铁三线</w:t>
            </w: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B36A4DE">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250Kg</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783EFC2">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2×80</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70074B6">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7</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78FF30A">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10</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B6029B7">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8</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5E6B554">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10</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A07F7AB">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w:t>
            </w:r>
          </w:p>
        </w:tc>
      </w:tr>
      <w:tr w14:paraId="3AA19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jc w:val="center"/>
        </w:trPr>
        <w:tc>
          <w:tcPr>
            <w:tcW w:w="1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AE3B246">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压装线</w:t>
            </w: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7F26ED4">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250Kg</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CAABC62">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2×18</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C5EBB0A">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8</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AD64C56">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5</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CC3A93F">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9</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D10A16D">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5</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3AC25A0">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5</w:t>
            </w:r>
          </w:p>
        </w:tc>
      </w:tr>
      <w:tr w14:paraId="1A559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jc w:val="center"/>
        </w:trPr>
        <w:tc>
          <w:tcPr>
            <w:tcW w:w="1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278E8F6A">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清洗线</w:t>
            </w: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83BAC03">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250Kg</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6CBF43A">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2×24.5</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A8D3852">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7</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A561150">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3</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51284F3">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8.5</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5D19B92">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3</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8E2AF89">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1</w:t>
            </w:r>
          </w:p>
        </w:tc>
      </w:tr>
      <w:tr w14:paraId="2B07F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jc w:val="center"/>
        </w:trPr>
        <w:tc>
          <w:tcPr>
            <w:tcW w:w="1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16C29D4">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抛丸线</w:t>
            </w: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262890F">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250Kg</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B72D425">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C2CC13C">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FE2F1FA">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B864345">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BED6322">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7</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26053A6C">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w:t>
            </w:r>
          </w:p>
        </w:tc>
      </w:tr>
      <w:tr w14:paraId="7F1AF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jc w:val="center"/>
        </w:trPr>
        <w:tc>
          <w:tcPr>
            <w:tcW w:w="1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AD87EF1">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0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驱动桥装配三线</w:t>
            </w: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ECEF57B">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500Kg</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6F7FC68">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default" w:ascii="仿宋" w:hAnsi="仿宋" w:eastAsia="仿宋" w:cs="仿宋"/>
                <w:sz w:val="21"/>
                <w:szCs w:val="21"/>
                <w:lang w:val="en-US" w:eastAsia="zh-CN"/>
              </w:rPr>
            </w:pPr>
            <w:r>
              <w:rPr>
                <w:rFonts w:hint="eastAsia" w:ascii="仿宋" w:hAnsi="仿宋" w:eastAsia="仿宋" w:cs="仿宋"/>
                <w:color w:val="000000"/>
                <w:sz w:val="21"/>
                <w:szCs w:val="21"/>
                <w:lang w:val="en-US" w:eastAsia="zh-CN"/>
              </w:rPr>
              <w:t>1×3</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3767CE7">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3314B61">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lang w:val="en-US" w:eastAsia="zh-CN"/>
              </w:rPr>
              <w:t>1</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63EBAE6">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lang w:val="en-US" w:eastAsia="zh-CN"/>
              </w:rPr>
              <w:t>8</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ECC9B37">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D35685D">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lang w:val="en-US" w:eastAsia="zh-CN"/>
              </w:rPr>
              <w:t>2</w:t>
            </w:r>
          </w:p>
        </w:tc>
      </w:tr>
      <w:tr w14:paraId="1FFBA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jc w:val="center"/>
        </w:trPr>
        <w:tc>
          <w:tcPr>
            <w:tcW w:w="211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29419AB">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合计</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4050DAC">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637米</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75F968B">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27A8FD4D">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38</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E225572">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303米</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196BBB4">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45</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A75E3AF">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21</w:t>
            </w:r>
          </w:p>
        </w:tc>
      </w:tr>
      <w:tr w14:paraId="5D0AB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jc w:val="center"/>
        </w:trPr>
        <w:tc>
          <w:tcPr>
            <w:tcW w:w="8136" w:type="dxa"/>
            <w:gridSpan w:val="8"/>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2A217D73">
            <w:pPr>
              <w:pStyle w:val="3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left"/>
              <w:textAlignment w:val="auto"/>
              <w:rPr>
                <w:rFonts w:hint="eastAsia" w:ascii="仿宋" w:hAnsi="仿宋" w:eastAsia="仿宋" w:cs="仿宋"/>
                <w:color w:val="000000"/>
                <w:sz w:val="21"/>
                <w:szCs w:val="21"/>
              </w:rPr>
            </w:pPr>
            <w:r>
              <w:rPr>
                <w:rFonts w:hint="eastAsia" w:ascii="仿宋" w:hAnsi="仿宋" w:eastAsia="仿宋" w:cs="仿宋"/>
                <w:color w:val="000000" w:themeColor="text1"/>
                <w:kern w:val="2"/>
                <w:sz w:val="21"/>
                <w:szCs w:val="21"/>
                <w:lang w:val="en-US" w:eastAsia="zh-CN"/>
                <w14:textFill>
                  <w14:solidFill>
                    <w14:schemeClr w14:val="tx1"/>
                  </w14:solidFill>
                </w14:textFill>
              </w:rPr>
              <w:t>采用</w:t>
            </w:r>
            <w:r>
              <w:rPr>
                <w:rFonts w:hint="eastAsia" w:ascii="仿宋" w:hAnsi="仿宋" w:eastAsia="仿宋" w:cs="仿宋"/>
                <w:color w:val="000000" w:themeColor="text1"/>
                <w:kern w:val="2"/>
                <w:sz w:val="21"/>
                <w:szCs w:val="21"/>
                <w14:textFill>
                  <w14:solidFill>
                    <w14:schemeClr w14:val="tx1"/>
                  </w14:solidFill>
                </w14:textFill>
              </w:rPr>
              <w:t>Ⅱ型</w:t>
            </w:r>
            <w:r>
              <w:rPr>
                <w:rFonts w:hint="eastAsia" w:ascii="仿宋" w:hAnsi="仿宋" w:eastAsia="仿宋" w:cs="仿宋"/>
                <w:color w:val="000000" w:themeColor="text1"/>
                <w:kern w:val="2"/>
                <w:sz w:val="21"/>
                <w:szCs w:val="21"/>
                <w:lang w:val="en-US" w:eastAsia="zh-CN"/>
                <w14:textFill>
                  <w14:solidFill>
                    <w14:schemeClr w14:val="tx1"/>
                  </w14:solidFill>
                </w14:textFill>
              </w:rPr>
              <w:t>导轨结构。</w:t>
            </w:r>
          </w:p>
        </w:tc>
      </w:tr>
    </w:tbl>
    <w:p w14:paraId="6332FF77">
      <w:pPr>
        <w:pStyle w:val="19"/>
        <w:keepNext w:val="0"/>
        <w:keepLines w:val="0"/>
        <w:pageBreakBefore w:val="0"/>
        <w:widowControl w:val="0"/>
        <w:numPr>
          <w:ilvl w:val="0"/>
          <w:numId w:val="0"/>
        </w:numPr>
        <w:kinsoku/>
        <w:wordWrap/>
        <w:overflowPunct/>
        <w:topLinePunct w:val="0"/>
        <w:autoSpaceDE/>
        <w:autoSpaceDN/>
        <w:bidi w:val="0"/>
        <w:adjustRightInd/>
        <w:snapToGrid w:val="0"/>
        <w:spacing w:before="164" w:beforeLines="50" w:line="360" w:lineRule="auto"/>
        <w:ind w:firstLine="420" w:firstLineChars="200"/>
        <w:jc w:val="both"/>
        <w:textAlignment w:val="auto"/>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3.2技术性能参数：</w:t>
      </w:r>
    </w:p>
    <w:p w14:paraId="7ABB0287">
      <w:pPr>
        <w:pStyle w:val="19"/>
        <w:snapToGrid w:val="0"/>
        <w:spacing w:line="360" w:lineRule="auto"/>
        <w:ind w:firstLine="420" w:firstLineChars="200"/>
        <w:rPr>
          <w:rFonts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3.2.1起升高度和跨度：（见采购货物主要构成一览表，仅供参考，以实际</w:t>
      </w:r>
      <w:r>
        <w:rPr>
          <w:rFonts w:hint="eastAsia" w:ascii="仿宋" w:hAnsi="仿宋" w:eastAsia="仿宋" w:cs="仿宋"/>
          <w:color w:val="000000" w:themeColor="text1"/>
          <w:highlight w:val="none"/>
          <w14:textFill>
            <w14:solidFill>
              <w14:schemeClr w14:val="tx1"/>
            </w14:solidFill>
          </w14:textFill>
        </w:rPr>
        <w:t>提升高度和跨度为准）</w:t>
      </w:r>
    </w:p>
    <w:p w14:paraId="770A0473">
      <w:pPr>
        <w:pStyle w:val="19"/>
        <w:snapToGrid w:val="0"/>
        <w:spacing w:line="360" w:lineRule="auto"/>
        <w:ind w:firstLine="420" w:firstLineChars="200"/>
        <w:rPr>
          <w:rFonts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★3.2.2 起升速度：环链葫芦＞8-2m/min。</w:t>
      </w:r>
    </w:p>
    <w:p w14:paraId="11DCFB13">
      <w:pPr>
        <w:pStyle w:val="19"/>
        <w:snapToGrid w:val="0"/>
        <w:spacing w:line="360" w:lineRule="auto"/>
        <w:ind w:firstLine="420" w:firstLineChars="200"/>
        <w:rPr>
          <w:rFonts w:hint="default"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★3.2.3 吊具配置双速电机；高低速控制手柄。</w:t>
      </w:r>
      <w:r>
        <w:rPr>
          <w:rFonts w:hint="eastAsia" w:ascii="仿宋" w:hAnsi="仿宋" w:eastAsia="仿宋" w:cs="仿宋"/>
          <w:color w:val="000000" w:themeColor="text1"/>
          <w:highlight w:val="none"/>
          <w:lang w:val="en-US" w:eastAsia="zh-CN"/>
          <w14:textFill>
            <w14:solidFill>
              <w14:schemeClr w14:val="tx1"/>
            </w14:solidFill>
          </w14:textFill>
        </w:rPr>
        <w:t>控制手柄上的按钮需注明中文名称。</w:t>
      </w:r>
    </w:p>
    <w:p w14:paraId="50E8387E">
      <w:pPr>
        <w:pStyle w:val="19"/>
        <w:snapToGrid w:val="0"/>
        <w:spacing w:line="360" w:lineRule="auto"/>
        <w:ind w:firstLine="420" w:firstLineChars="200"/>
        <w:rPr>
          <w:rFonts w:hint="default"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3.2.4 安装：柔性吊安装在买方设计的钢结构上，导轨吊点间</w:t>
      </w:r>
      <w:r>
        <w:rPr>
          <w:rFonts w:hint="eastAsia" w:ascii="仿宋" w:hAnsi="仿宋" w:eastAsia="仿宋" w:cs="仿宋"/>
          <w:color w:val="auto"/>
          <w:highlight w:val="none"/>
        </w:rPr>
        <w:t>距小于1.2m，</w:t>
      </w:r>
      <w:r>
        <w:rPr>
          <w:rFonts w:hint="eastAsia" w:ascii="仿宋" w:hAnsi="仿宋" w:eastAsia="仿宋" w:cs="仿宋"/>
          <w:color w:val="000000" w:themeColor="text1"/>
          <w:highlight w:val="none"/>
          <w14:textFill>
            <w14:solidFill>
              <w14:schemeClr w14:val="tx1"/>
            </w14:solidFill>
          </w14:textFill>
        </w:rPr>
        <w:t>密度均布。</w:t>
      </w:r>
      <w:r>
        <w:rPr>
          <w:rFonts w:hint="eastAsia" w:ascii="仿宋" w:hAnsi="仿宋" w:eastAsia="仿宋" w:cs="仿宋"/>
          <w:color w:val="000000" w:themeColor="text1"/>
          <w:highlight w:val="none"/>
          <w:lang w:val="en-US" w:eastAsia="zh-CN"/>
          <w14:textFill>
            <w14:solidFill>
              <w14:schemeClr w14:val="tx1"/>
            </w14:solidFill>
          </w14:textFill>
        </w:rPr>
        <w:t>导轨与工字钢之间需安装防坠落装置。</w:t>
      </w:r>
    </w:p>
    <w:p w14:paraId="7C6659B1">
      <w:pPr>
        <w:pStyle w:val="19"/>
        <w:snapToGrid w:val="0"/>
        <w:spacing w:line="360" w:lineRule="auto"/>
        <w:ind w:firstLine="420" w:firstLineChars="200"/>
        <w:rPr>
          <w:rFonts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3.2.5 送电方式：大车采用安全外置滑触线；小车采用拖缆。</w:t>
      </w:r>
    </w:p>
    <w:p w14:paraId="4571B794">
      <w:pPr>
        <w:pStyle w:val="19"/>
        <w:snapToGrid w:val="0"/>
        <w:spacing w:line="360" w:lineRule="auto"/>
        <w:ind w:firstLine="420" w:firstLineChars="200"/>
        <w:rPr>
          <w:rFonts w:hint="default"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3.2.6滑动小车：采用双轮结构，使用连接板、螺母及开口销进行固定</w:t>
      </w:r>
      <w:r>
        <w:rPr>
          <w:rFonts w:hint="eastAsia" w:ascii="仿宋" w:hAnsi="仿宋" w:eastAsia="仿宋" w:cs="仿宋"/>
          <w:color w:val="000000" w:themeColor="text1"/>
          <w:highlight w:val="none"/>
          <w:lang w:eastAsia="zh-CN"/>
          <w14:textFill>
            <w14:solidFill>
              <w14:schemeClr w14:val="tx1"/>
            </w14:solidFill>
          </w14:textFill>
        </w:rPr>
        <w:t>；</w:t>
      </w:r>
      <w:r>
        <w:rPr>
          <w:rFonts w:hint="eastAsia" w:ascii="仿宋" w:hAnsi="仿宋" w:eastAsia="仿宋" w:cs="仿宋"/>
          <w:color w:val="000000" w:themeColor="text1"/>
          <w:highlight w:val="none"/>
          <w:lang w:val="en-US" w:eastAsia="zh-CN"/>
          <w14:textFill>
            <w14:solidFill>
              <w14:schemeClr w14:val="tx1"/>
            </w14:solidFill>
          </w14:textFill>
        </w:rPr>
        <w:t>开口销捆绑红色扎带；相邻柔性吊之间安装防撞措施，避免电源开关箱相互碰撞。</w:t>
      </w:r>
    </w:p>
    <w:p w14:paraId="3C7258DD">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3.2.7外置安全滑触线：使用螺栓连接到导轨吊点，不允许焊接固定，每条外置安全滑触线在末端配备一个电源三色灯。</w:t>
      </w:r>
    </w:p>
    <w:p w14:paraId="6AE19A15">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3.2.8 电动葫芦在满载运行过程中，不得有爬行、抖动、卡死等现象；</w:t>
      </w:r>
    </w:p>
    <w:p w14:paraId="15AF7B78">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3.2.9 电动葫芦在满载运行过程中的噪声不大于</w:t>
      </w:r>
      <w:r>
        <w:rPr>
          <w:rFonts w:hint="eastAsia" w:ascii="仿宋" w:hAnsi="仿宋" w:eastAsia="仿宋" w:cs="仿宋"/>
          <w:color w:val="000000" w:themeColor="text1"/>
          <w:lang w:val="en-US" w:eastAsia="zh-CN"/>
          <w14:textFill>
            <w14:solidFill>
              <w14:schemeClr w14:val="tx1"/>
            </w14:solidFill>
          </w14:textFill>
        </w:rPr>
        <w:t>8</w:t>
      </w:r>
      <w:r>
        <w:rPr>
          <w:rFonts w:hint="eastAsia" w:ascii="仿宋" w:hAnsi="仿宋" w:eastAsia="仿宋" w:cs="仿宋"/>
          <w:color w:val="000000" w:themeColor="text1"/>
          <w14:textFill>
            <w14:solidFill>
              <w14:schemeClr w14:val="tx1"/>
            </w14:solidFill>
          </w14:textFill>
        </w:rPr>
        <w:t>0dB；</w:t>
      </w:r>
    </w:p>
    <w:p w14:paraId="2D30A77B">
      <w:pPr>
        <w:pStyle w:val="19"/>
        <w:snapToGrid w:val="0"/>
        <w:spacing w:line="360" w:lineRule="auto"/>
        <w:ind w:firstLine="420" w:firstLineChars="200"/>
        <w:rPr>
          <w:rFonts w:hint="eastAsia"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3.2.10电动葫芦应有防撞装置，以防两台葫芦相遇时产生危险；电动葫芦应有机械式防冲顶装置，</w:t>
      </w:r>
      <w:r>
        <w:rPr>
          <w:rFonts w:hint="eastAsia" w:ascii="仿宋" w:hAnsi="仿宋" w:eastAsia="仿宋" w:cs="仿宋"/>
          <w:color w:val="000000" w:themeColor="text1"/>
          <w:highlight w:val="none"/>
          <w14:textFill>
            <w14:solidFill>
              <w14:schemeClr w14:val="tx1"/>
            </w14:solidFill>
          </w14:textFill>
        </w:rPr>
        <w:t>且电动葫芦与横梁</w:t>
      </w:r>
      <w:r>
        <w:rPr>
          <w:rFonts w:hint="eastAsia" w:ascii="仿宋" w:hAnsi="仿宋" w:eastAsia="仿宋" w:cs="仿宋"/>
          <w:color w:val="000000" w:themeColor="text1"/>
          <w:highlight w:val="none"/>
          <w:lang w:val="en-US" w:eastAsia="zh-CN"/>
          <w14:textFill>
            <w14:solidFill>
              <w14:schemeClr w14:val="tx1"/>
            </w14:solidFill>
          </w14:textFill>
        </w:rPr>
        <w:t>之间</w:t>
      </w:r>
      <w:r>
        <w:rPr>
          <w:rFonts w:hint="eastAsia" w:ascii="仿宋" w:hAnsi="仿宋" w:eastAsia="仿宋" w:cs="仿宋"/>
          <w:color w:val="000000" w:themeColor="text1"/>
          <w:highlight w:val="none"/>
          <w14:textFill>
            <w14:solidFill>
              <w14:schemeClr w14:val="tx1"/>
            </w14:solidFill>
          </w14:textFill>
        </w:rPr>
        <w:t>需安装防坠落装置。</w:t>
      </w:r>
    </w:p>
    <w:p w14:paraId="1A303271">
      <w:pPr>
        <w:pStyle w:val="19"/>
        <w:snapToGrid w:val="0"/>
        <w:spacing w:line="360" w:lineRule="auto"/>
        <w:ind w:firstLine="420" w:firstLineChars="200"/>
        <w:rPr>
          <w:rFonts w:hint="eastAsia" w:ascii="仿宋" w:hAnsi="仿宋" w:eastAsia="仿宋" w:cs="仿宋"/>
          <w:color w:val="000000" w:themeColor="text1"/>
          <w:lang w:eastAsia="zh-CN"/>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3.2.11电动葫芦链盒防坠落；链条防脱落；吊钩使用重力式防脱止推片，吊钩上方设置弹簧式缓冲结构；操作手柄使用36V安全电压控制</w:t>
      </w:r>
      <w:r>
        <w:rPr>
          <w:rFonts w:hint="eastAsia" w:ascii="仿宋" w:hAnsi="仿宋" w:eastAsia="仿宋" w:cs="仿宋"/>
          <w:color w:val="000000" w:themeColor="text1"/>
          <w:lang w:eastAsia="zh-CN"/>
          <w14:textFill>
            <w14:solidFill>
              <w14:schemeClr w14:val="tx1"/>
            </w14:solidFill>
          </w14:textFill>
        </w:rPr>
        <w:t>。</w:t>
      </w:r>
    </w:p>
    <w:p w14:paraId="67AC8F9A">
      <w:pPr>
        <w:pStyle w:val="19"/>
        <w:snapToGrid w:val="0"/>
        <w:spacing w:line="360" w:lineRule="auto"/>
        <w:rPr>
          <w:rFonts w:hint="default"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3.2.12每台柔性吊单独配备一个电源开关箱</w:t>
      </w:r>
      <w:r>
        <w:rPr>
          <w:rFonts w:hint="eastAsia" w:ascii="仿宋" w:hAnsi="仿宋" w:eastAsia="仿宋" w:cs="仿宋"/>
          <w:color w:val="000000" w:themeColor="text1"/>
          <w:highlight w:val="none"/>
          <w:lang w:eastAsia="zh-CN"/>
          <w14:textFill>
            <w14:solidFill>
              <w14:schemeClr w14:val="tx1"/>
            </w14:solidFill>
          </w14:textFill>
        </w:rPr>
        <w:t>；</w:t>
      </w:r>
      <w:r>
        <w:rPr>
          <w:rFonts w:hint="eastAsia" w:ascii="仿宋" w:hAnsi="仿宋" w:eastAsia="仿宋" w:cs="仿宋"/>
          <w:color w:val="000000" w:themeColor="text1"/>
          <w:highlight w:val="none"/>
          <w:lang w:val="en-US" w:eastAsia="zh-CN"/>
          <w14:textFill>
            <w14:solidFill>
              <w14:schemeClr w14:val="tx1"/>
            </w14:solidFill>
          </w14:textFill>
        </w:rPr>
        <w:t>横梁与导轨之间</w:t>
      </w:r>
      <w:r>
        <w:rPr>
          <w:rFonts w:hint="eastAsia" w:ascii="仿宋" w:hAnsi="仿宋" w:eastAsia="仿宋" w:cs="仿宋"/>
          <w:color w:val="000000" w:themeColor="text1"/>
          <w:highlight w:val="none"/>
          <w14:textFill>
            <w14:solidFill>
              <w14:schemeClr w14:val="tx1"/>
            </w14:solidFill>
          </w14:textFill>
        </w:rPr>
        <w:t>需安装防坠落装置。</w:t>
      </w:r>
    </w:p>
    <w:p w14:paraId="5D36FB8C">
      <w:pPr>
        <w:pStyle w:val="19"/>
        <w:snapToGrid w:val="0"/>
        <w:spacing w:line="360" w:lineRule="auto"/>
        <w:ind w:firstLine="420" w:firstLineChars="200"/>
        <w:rPr>
          <w:rFonts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3.2.13导轨喷涂长度及限载标识</w:t>
      </w:r>
      <w:r>
        <w:rPr>
          <w:rFonts w:hint="eastAsia" w:ascii="仿宋" w:hAnsi="仿宋" w:eastAsia="仿宋" w:cs="仿宋"/>
          <w:color w:val="000000" w:themeColor="text1"/>
          <w:highlight w:val="none"/>
          <w:lang w:eastAsia="zh-CN"/>
          <w14:textFill>
            <w14:solidFill>
              <w14:schemeClr w14:val="tx1"/>
            </w14:solidFill>
          </w14:textFill>
        </w:rPr>
        <w:t>；</w:t>
      </w:r>
      <w:r>
        <w:rPr>
          <w:rFonts w:hint="eastAsia" w:ascii="仿宋" w:hAnsi="仿宋" w:eastAsia="仿宋" w:cs="仿宋"/>
          <w:color w:val="000000" w:themeColor="text1"/>
          <w:highlight w:val="none"/>
          <w14:textFill>
            <w14:solidFill>
              <w14:schemeClr w14:val="tx1"/>
            </w14:solidFill>
          </w14:textFill>
        </w:rPr>
        <w:t>吊钩</w:t>
      </w:r>
      <w:r>
        <w:rPr>
          <w:rFonts w:hint="eastAsia" w:ascii="仿宋" w:hAnsi="仿宋" w:eastAsia="仿宋" w:cs="仿宋"/>
          <w:color w:val="000000" w:themeColor="text1"/>
          <w:highlight w:val="none"/>
          <w:lang w:val="en-US" w:eastAsia="zh-CN"/>
          <w14:textFill>
            <w14:solidFill>
              <w14:schemeClr w14:val="tx1"/>
            </w14:solidFill>
          </w14:textFill>
        </w:rPr>
        <w:t>需标注</w:t>
      </w:r>
      <w:r>
        <w:rPr>
          <w:rFonts w:hint="eastAsia" w:ascii="仿宋" w:hAnsi="仿宋" w:eastAsia="仿宋" w:cs="仿宋"/>
          <w:color w:val="000000" w:themeColor="text1"/>
          <w:highlight w:val="none"/>
          <w14:textFill>
            <w14:solidFill>
              <w14:schemeClr w14:val="tx1"/>
            </w14:solidFill>
          </w14:textFill>
        </w:rPr>
        <w:t>限载标识</w:t>
      </w:r>
    </w:p>
    <w:p w14:paraId="2D0FC8C3">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3.2.14主要元器件、零部件的选用和配置要求：电动葫芦、供电拖缆、滑触线应选用国内外名牌产品；</w:t>
      </w:r>
    </w:p>
    <w:p w14:paraId="14641FC7">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3.2.15要求检修、维修、使用方便；</w:t>
      </w:r>
    </w:p>
    <w:p w14:paraId="00267FB2">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3.2.16使用寿命大于10年；</w:t>
      </w:r>
    </w:p>
    <w:p w14:paraId="2DD2D472">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3.2.17大车、小车运行轻快。</w:t>
      </w:r>
    </w:p>
    <w:p w14:paraId="26C69D2E">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3.2.18导轨与目前招标方现场使用的通用。</w:t>
      </w:r>
    </w:p>
    <w:p w14:paraId="7224A528">
      <w:pPr>
        <w:pStyle w:val="19"/>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3.2.19系统颜色与目前招标方现场使用的相同。</w:t>
      </w:r>
    </w:p>
    <w:p w14:paraId="429B7FBB">
      <w:pPr>
        <w:pStyle w:val="19"/>
        <w:snapToGrid w:val="0"/>
        <w:spacing w:line="360" w:lineRule="auto"/>
        <w:ind w:firstLine="420" w:firstLineChars="200"/>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3.2.20所有传感器检测功能和精度需配备对应的传感器校验方式，并配备使用说明和检测工具，并提供工具检定证书。</w:t>
      </w:r>
    </w:p>
    <w:p w14:paraId="75ED830D">
      <w:pPr>
        <w:pStyle w:val="19"/>
        <w:snapToGrid w:val="0"/>
        <w:spacing w:line="360" w:lineRule="auto"/>
        <w:ind w:firstLine="420" w:firstLineChars="200"/>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3.2.21电器柜前需铺设符合要求的绝缘地垫。</w:t>
      </w:r>
    </w:p>
    <w:p w14:paraId="4A1B7B77">
      <w:pPr>
        <w:pStyle w:val="19"/>
        <w:snapToGrid w:val="0"/>
        <w:spacing w:line="360" w:lineRule="auto"/>
        <w:ind w:firstLine="420" w:firstLineChars="200"/>
        <w:rPr>
          <w:rFonts w:hint="default"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3.2.22柔性吊控制器需设置急停按钮，并需标注中文标识；上下运行键需有对应标识</w:t>
      </w:r>
    </w:p>
    <w:p w14:paraId="43A5277F">
      <w:pPr>
        <w:pStyle w:val="19"/>
        <w:snapToGrid w:val="0"/>
        <w:spacing w:line="360" w:lineRule="auto"/>
        <w:ind w:firstLine="420" w:firstLineChars="200"/>
        <w:rPr>
          <w:rFonts w:hint="eastAsia" w:ascii="仿宋" w:hAnsi="仿宋" w:eastAsia="仿宋" w:cs="仿宋"/>
          <w:kern w:val="0"/>
          <w:sz w:val="24"/>
          <w:szCs w:val="24"/>
          <w:highlight w:val="none"/>
          <w:lang w:val="en-US" w:eastAsia="zh-CN" w:bidi="ar-SA"/>
        </w:rPr>
      </w:pPr>
      <w:r>
        <w:rPr>
          <w:rFonts w:hint="eastAsia" w:ascii="仿宋" w:hAnsi="仿宋" w:eastAsia="仿宋" w:cs="仿宋"/>
          <w:color w:val="000000" w:themeColor="text1"/>
          <w:lang w:val="en-US" w:eastAsia="zh-CN"/>
          <w14:textFill>
            <w14:solidFill>
              <w14:schemeClr w14:val="tx1"/>
            </w14:solidFill>
          </w14:textFill>
        </w:rPr>
        <w:t>3.3</w:t>
      </w:r>
      <w:r>
        <w:rPr>
          <w:rFonts w:hint="eastAsia" w:ascii="仿宋" w:hAnsi="仿宋" w:eastAsia="仿宋" w:cs="仿宋"/>
          <w:kern w:val="0"/>
          <w:sz w:val="24"/>
          <w:szCs w:val="24"/>
          <w:highlight w:val="none"/>
          <w:lang w:val="en-US" w:eastAsia="zh-CN" w:bidi="ar-SA"/>
        </w:rPr>
        <w:t>安全及环保要求</w:t>
      </w:r>
    </w:p>
    <w:p w14:paraId="40EA5279">
      <w:pPr>
        <w:pStyle w:val="19"/>
        <w:snapToGrid w:val="0"/>
        <w:spacing w:line="360" w:lineRule="auto"/>
        <w:ind w:firstLine="480" w:firstLineChars="200"/>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szCs w:val="24"/>
          <w:highlight w:val="none"/>
          <w:lang w:val="en-US" w:eastAsia="zh-CN" w:bidi="ar-SA"/>
        </w:rPr>
        <w:t>3.3.1投标方所供的货物（或生产线），必须符合中国最新版的安全、环保、消防及职业健康的法律、法规要求，符合行业安全标准及项目所在地政府有关特殊要求。</w:t>
      </w:r>
    </w:p>
    <w:p w14:paraId="61198410">
      <w:pPr>
        <w:numPr>
          <w:ilvl w:val="0"/>
          <w:numId w:val="0"/>
        </w:numPr>
        <w:adjustRightInd w:val="0"/>
        <w:snapToGrid w:val="0"/>
        <w:spacing w:line="360" w:lineRule="auto"/>
        <w:ind w:leftChars="0" w:firstLine="480" w:firstLineChars="200"/>
        <w:rPr>
          <w:rFonts w:ascii="仿宋" w:hAnsi="仿宋" w:eastAsia="仿宋" w:cs="仿宋"/>
          <w:sz w:val="24"/>
          <w:szCs w:val="24"/>
          <w:highlight w:val="none"/>
        </w:rPr>
      </w:pPr>
      <w:r>
        <w:rPr>
          <w:rFonts w:hint="eastAsia" w:ascii="仿宋" w:hAnsi="仿宋" w:eastAsia="仿宋" w:cs="仿宋"/>
          <w:kern w:val="0"/>
          <w:sz w:val="24"/>
          <w:szCs w:val="24"/>
          <w:highlight w:val="none"/>
          <w:lang w:val="en-US" w:eastAsia="zh-CN" w:bidi="ar-SA"/>
        </w:rPr>
        <w:t>3.3.2</w:t>
      </w:r>
      <w:r>
        <w:rPr>
          <w:rFonts w:hint="eastAsia" w:ascii="仿宋" w:hAnsi="仿宋" w:eastAsia="仿宋" w:cs="仿宋"/>
          <w:sz w:val="24"/>
          <w:szCs w:val="24"/>
          <w:highlight w:val="none"/>
        </w:rPr>
        <w:t>货物（或生产线）应完整且所有的零部件应该安装安全、牢固，外观无损伤，所有的焊缝饱满、无残渣等缺陷且符合国家及行业相关标准。</w:t>
      </w:r>
    </w:p>
    <w:p w14:paraId="49A14F65">
      <w:pPr>
        <w:numPr>
          <w:ilvl w:val="0"/>
          <w:numId w:val="0"/>
        </w:numPr>
        <w:snapToGrid w:val="0"/>
        <w:spacing w:line="360" w:lineRule="auto"/>
        <w:ind w:firstLine="480" w:firstLineChars="200"/>
        <w:jc w:val="left"/>
        <w:rPr>
          <w:rFonts w:hint="eastAsia" w:ascii="仿宋" w:hAnsi="仿宋" w:eastAsia="仿宋" w:cs="仿宋"/>
          <w:sz w:val="24"/>
          <w:szCs w:val="24"/>
          <w:highlight w:val="none"/>
        </w:rPr>
      </w:pPr>
      <w:r>
        <w:rPr>
          <w:rFonts w:hint="eastAsia" w:ascii="仿宋" w:hAnsi="仿宋" w:eastAsia="仿宋" w:cs="仿宋"/>
          <w:kern w:val="0"/>
          <w:sz w:val="24"/>
          <w:szCs w:val="24"/>
          <w:highlight w:val="none"/>
          <w:lang w:val="en-US" w:eastAsia="zh-CN" w:bidi="ar-SA"/>
        </w:rPr>
        <w:t>3.3.3</w:t>
      </w:r>
      <w:r>
        <w:rPr>
          <w:rFonts w:hint="eastAsia" w:ascii="仿宋" w:hAnsi="仿宋" w:eastAsia="仿宋" w:cs="仿宋"/>
          <w:sz w:val="24"/>
          <w:szCs w:val="24"/>
          <w:highlight w:val="none"/>
        </w:rPr>
        <w:t>生产线存在安全风险的工位必须采取安全措施，如：线体防护板、高温防护、光栅等。</w:t>
      </w:r>
    </w:p>
    <w:p w14:paraId="4ADAC7BC">
      <w:pPr>
        <w:numPr>
          <w:ilvl w:val="0"/>
          <w:numId w:val="0"/>
        </w:numPr>
        <w:snapToGrid w:val="0"/>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3.3.4</w:t>
      </w:r>
      <w:r>
        <w:rPr>
          <w:rFonts w:hint="eastAsia" w:ascii="仿宋" w:hAnsi="仿宋" w:eastAsia="仿宋" w:cs="仿宋"/>
          <w:sz w:val="24"/>
          <w:szCs w:val="24"/>
          <w:highlight w:val="none"/>
        </w:rPr>
        <w:t>从安全生产的角度考虑各单元及工位应设有急停按钮，并有明显标识。</w:t>
      </w:r>
    </w:p>
    <w:p w14:paraId="3F339A4B">
      <w:pPr>
        <w:pStyle w:val="2"/>
        <w:ind w:left="420" w:leftChars="200"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3.3.5</w:t>
      </w:r>
      <w:r>
        <w:rPr>
          <w:rFonts w:hint="eastAsia" w:ascii="仿宋" w:hAnsi="仿宋" w:eastAsia="仿宋" w:cs="仿宋"/>
          <w:sz w:val="24"/>
          <w:szCs w:val="24"/>
          <w:highlight w:val="none"/>
        </w:rPr>
        <w:t>单元操作面板上有上电按钮和急停按钮，上电后可对系统进行操作。</w:t>
      </w:r>
    </w:p>
    <w:p w14:paraId="2667A1D5">
      <w:pPr>
        <w:widowControl w:val="0"/>
        <w:numPr>
          <w:ilvl w:val="0"/>
          <w:numId w:val="0"/>
        </w:numPr>
        <w:snapToGrid w:val="0"/>
        <w:spacing w:line="360" w:lineRule="auto"/>
        <w:ind w:left="0" w:leftChars="0" w:firstLine="480" w:firstLineChars="200"/>
        <w:jc w:val="both"/>
        <w:rPr>
          <w:rFonts w:ascii="仿宋" w:hAnsi="仿宋" w:eastAsia="仿宋" w:cs="仿宋"/>
          <w:kern w:val="0"/>
          <w:sz w:val="24"/>
          <w:szCs w:val="24"/>
          <w:highlight w:val="none"/>
          <w:lang w:val="en-US" w:eastAsia="zh-CN" w:bidi="ar-SA"/>
        </w:rPr>
      </w:pPr>
      <w:r>
        <w:rPr>
          <w:rFonts w:hint="eastAsia" w:ascii="仿宋" w:hAnsi="仿宋" w:eastAsia="仿宋" w:cs="仿宋"/>
          <w:kern w:val="0"/>
          <w:sz w:val="24"/>
          <w:szCs w:val="24"/>
          <w:highlight w:val="none"/>
          <w:lang w:val="en-US" w:eastAsia="zh-CN" w:bidi="ar-SA"/>
        </w:rPr>
        <w:t>3.3.6所有电气安装和施工均应符合我国现行行业标准（规范），电器柜需张贴当心触电警示标识。</w:t>
      </w:r>
    </w:p>
    <w:p w14:paraId="4B775D43">
      <w:pPr>
        <w:numPr>
          <w:ilvl w:val="0"/>
          <w:numId w:val="0"/>
        </w:numPr>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3.3.7</w:t>
      </w:r>
      <w:r>
        <w:rPr>
          <w:rFonts w:hint="eastAsia" w:ascii="仿宋" w:hAnsi="仿宋" w:eastAsia="仿宋" w:cs="仿宋"/>
          <w:sz w:val="24"/>
          <w:szCs w:val="24"/>
          <w:highlight w:val="none"/>
        </w:rPr>
        <w:t>投标方必须提供所供设备相应的安全操作规程和安全事项的说明书，危险化学品“一书一签”；负责对招标方相关人员开展“四新”安全培训。</w:t>
      </w:r>
    </w:p>
    <w:p w14:paraId="56C0018B">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3.3.8</w:t>
      </w:r>
      <w:r>
        <w:rPr>
          <w:rFonts w:hint="eastAsia" w:ascii="仿宋" w:hAnsi="仿宋" w:eastAsia="仿宋" w:cs="仿宋"/>
          <w:sz w:val="24"/>
          <w:szCs w:val="24"/>
          <w:highlight w:val="none"/>
        </w:rPr>
        <w:t>货物（或生产线）应运行稳定、可靠、安全，无非正常变形，非正常振动，无异常声音；无漏水、漏液、漏气（汽）、漏电等现象。</w:t>
      </w:r>
    </w:p>
    <w:p w14:paraId="2C9C7D19">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3.3.9</w:t>
      </w:r>
      <w:r>
        <w:rPr>
          <w:rFonts w:hint="eastAsia" w:ascii="仿宋" w:hAnsi="仿宋" w:eastAsia="仿宋" w:cs="仿宋"/>
          <w:sz w:val="24"/>
          <w:szCs w:val="24"/>
          <w:highlight w:val="none"/>
        </w:rPr>
        <w:t>所有的管路和线缆等，接头应完全正确、可靠地联接；应排列有序（正确、牢固、整齐），有必要的防护，无皱褶、收缩和裂缝等不良现象。</w:t>
      </w:r>
    </w:p>
    <w:p w14:paraId="7D07709D">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3.3.10</w:t>
      </w:r>
      <w:r>
        <w:rPr>
          <w:rFonts w:hint="eastAsia" w:ascii="仿宋" w:hAnsi="仿宋" w:eastAsia="仿宋" w:cs="仿宋"/>
          <w:sz w:val="24"/>
          <w:szCs w:val="24"/>
          <w:highlight w:val="none"/>
        </w:rPr>
        <w:t>地线联接和地极符合国际（ISO/IEC）标准规范，电器柜需张贴当心触电警示标识。</w:t>
      </w:r>
    </w:p>
    <w:p w14:paraId="4D928F41">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3.3.11</w:t>
      </w:r>
      <w:r>
        <w:rPr>
          <w:rFonts w:hint="eastAsia" w:ascii="仿宋" w:hAnsi="仿宋" w:eastAsia="仿宋" w:cs="仿宋"/>
          <w:sz w:val="24"/>
          <w:szCs w:val="24"/>
          <w:highlight w:val="none"/>
        </w:rPr>
        <w:t>货物（或生产线）正常运行时，噪声等环境影响因素满足国家（《工作场所物理因素测量 噪声》GBZ/T 189.8-2007. 噪音≤80dB(A)（距设备一米处测量））和当地环保主管部门规定。项目验收时，投标方须提供</w:t>
      </w:r>
      <w:r>
        <w:rPr>
          <w:rFonts w:hint="eastAsia" w:ascii="仿宋_GB2312" w:hAnsi="宋体" w:eastAsia="仿宋_GB2312" w:cs="宋体"/>
          <w:sz w:val="24"/>
          <w:szCs w:val="24"/>
          <w:highlight w:val="none"/>
          <w:lang w:bidi="ar"/>
        </w:rPr>
        <w:t>由第三方监测机构出具的噪音合格监测报告。</w:t>
      </w:r>
    </w:p>
    <w:p w14:paraId="78D6F959">
      <w:pPr>
        <w:numPr>
          <w:ilvl w:val="0"/>
          <w:numId w:val="0"/>
        </w:numPr>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3.3.12</w:t>
      </w:r>
      <w:r>
        <w:rPr>
          <w:rFonts w:hint="eastAsia" w:ascii="仿宋" w:hAnsi="仿宋" w:eastAsia="仿宋" w:cs="仿宋"/>
          <w:sz w:val="24"/>
          <w:szCs w:val="24"/>
          <w:highlight w:val="none"/>
        </w:rPr>
        <w:t>可附有投标方认为能够证明其所供货物（或生产线）安全性水平、节能性水平、环保性水平等相关的其它证明文件或资料、报告等，如电气开关柜等电气设备的内部故障电弧效应试验报告、噪声较大设备的噪声检验报告等。</w:t>
      </w:r>
    </w:p>
    <w:p w14:paraId="7580DE08">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3.3.13</w:t>
      </w:r>
      <w:r>
        <w:rPr>
          <w:rFonts w:hint="eastAsia" w:ascii="仿宋" w:hAnsi="仿宋" w:eastAsia="仿宋" w:cs="仿宋"/>
          <w:sz w:val="24"/>
          <w:szCs w:val="24"/>
          <w:highlight w:val="none"/>
        </w:rPr>
        <w:t>涉及需要进行环保、职业卫生强制检测的项目（设备、设施），应由中标方提供权威第三方检测机构出具的完工检测报告。</w:t>
      </w:r>
    </w:p>
    <w:p w14:paraId="48E887BB">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3.3.14</w:t>
      </w:r>
      <w:r>
        <w:rPr>
          <w:rFonts w:hint="eastAsia" w:ascii="仿宋" w:hAnsi="仿宋" w:eastAsia="仿宋" w:cs="仿宋"/>
          <w:sz w:val="24"/>
          <w:szCs w:val="24"/>
          <w:highlight w:val="none"/>
        </w:rPr>
        <w:t>特种设备应提供济南市特种设备检验研究院出具的首次检验报告，招标方协助中标方办理相关注册登记手续。</w:t>
      </w:r>
    </w:p>
    <w:p w14:paraId="12CA80D6">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3.3.15</w:t>
      </w:r>
      <w:r>
        <w:rPr>
          <w:rFonts w:hint="eastAsia" w:ascii="仿宋" w:hAnsi="仿宋" w:eastAsia="仿宋" w:cs="仿宋"/>
          <w:sz w:val="24"/>
          <w:szCs w:val="24"/>
          <w:highlight w:val="none"/>
        </w:rPr>
        <w:t>机器人作业区域安全防护。机器人作业区域需安装安全防护隔离，安全防护隔离形式：采用型钢材质整体式设计，由方管焊接框架结构和金属网格组成，防护栏立柱和防护栏采用螺栓连接；安全门采用门联锁进行安全防护。门联锁必须保证，只有当安全门处于完全关闭状态时，才容许机器人自动运行，当安全门打开时机器人须立即停止运行。</w:t>
      </w:r>
    </w:p>
    <w:p w14:paraId="3725B7D3">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3.3.16</w:t>
      </w:r>
      <w:r>
        <w:rPr>
          <w:rFonts w:hint="eastAsia" w:ascii="仿宋" w:hAnsi="仿宋" w:eastAsia="仿宋" w:cs="仿宋"/>
          <w:sz w:val="24"/>
          <w:szCs w:val="24"/>
          <w:highlight w:val="none"/>
        </w:rPr>
        <w:t>投标方所投货物外观颜色标准按招标方提供的标准《Q/ZZ 30070—</w:t>
      </w:r>
      <w:r>
        <w:rPr>
          <w:rFonts w:hint="eastAsia" w:ascii="仿宋" w:hAnsi="仿宋" w:eastAsia="仿宋" w:cs="仿宋"/>
          <w:sz w:val="24"/>
          <w:szCs w:val="24"/>
          <w:highlight w:val="none"/>
          <w:lang w:val="en-US" w:eastAsia="zh-CN"/>
        </w:rPr>
        <w:t>2020》或双方书面约定的标准执行。</w:t>
      </w:r>
    </w:p>
    <w:p w14:paraId="50C2C057">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3.3.17</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施工前须提供安全施工技术方案（含危险源辨识与风险控制措施内容）及详细的安全施工措施并经</w:t>
      </w:r>
      <w:r>
        <w:rPr>
          <w:rFonts w:hint="eastAsia" w:ascii="仿宋" w:hAnsi="仿宋" w:eastAsia="仿宋" w:cs="仿宋"/>
          <w:sz w:val="24"/>
          <w:szCs w:val="24"/>
          <w:highlight w:val="none"/>
        </w:rPr>
        <w:t>招标方</w:t>
      </w:r>
      <w:r>
        <w:rPr>
          <w:rFonts w:hint="eastAsia" w:ascii="仿宋" w:hAnsi="仿宋" w:eastAsia="仿宋" w:cs="仿宋"/>
          <w:sz w:val="24"/>
          <w:szCs w:val="24"/>
          <w:highlight w:val="none"/>
          <w:lang w:val="en-US" w:eastAsia="zh-CN"/>
        </w:rPr>
        <w:t>认可，并签订《安全协议》。</w:t>
      </w:r>
    </w:p>
    <w:p w14:paraId="14D28225">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3.3.18</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在整个项目过程中必须严格执行</w:t>
      </w:r>
      <w:r>
        <w:rPr>
          <w:rFonts w:hint="eastAsia" w:ascii="仿宋" w:hAnsi="仿宋" w:eastAsia="仿宋" w:cs="仿宋"/>
          <w:sz w:val="24"/>
          <w:szCs w:val="24"/>
          <w:highlight w:val="none"/>
        </w:rPr>
        <w:t>招标方</w:t>
      </w:r>
      <w:r>
        <w:rPr>
          <w:rFonts w:hint="eastAsia" w:ascii="仿宋" w:hAnsi="仿宋" w:eastAsia="仿宋" w:cs="仿宋"/>
          <w:sz w:val="24"/>
          <w:szCs w:val="24"/>
          <w:highlight w:val="none"/>
          <w:lang w:val="en-US" w:eastAsia="zh-CN"/>
        </w:rPr>
        <w:t>要求及国家相关安全、消防、环保等法律、法规。</w:t>
      </w:r>
    </w:p>
    <w:p w14:paraId="2507AD5E">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3.3.21进入现场所有的特殊工种的操作人员必须持有相应的操作资格证（如电工、焊工、高空、叉车证等）；进入现场所有设备必须符合国家标准。</w:t>
      </w:r>
    </w:p>
    <w:p w14:paraId="6F1B2DD8">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3.3.22</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需采用隔栏或围栏的形式将施工区域与生产区域隔开，不能影响生产。</w:t>
      </w:r>
    </w:p>
    <w:p w14:paraId="28EA2FB2">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3.3.23在没有正式的书面批准和现场的化学制品核准情况下，所有的化学制品不允许进入施工现场，现场不允许储藏化学制品、油漆、燃料等，严禁</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带过量、超期的气瓶（氧气/乙炔）到现场(保证安全附件完好)，替换钢瓶前，</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必须搬出空瓶。</w:t>
      </w:r>
    </w:p>
    <w:p w14:paraId="3E99EA02">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3.3.24设备的主机、附件及附属设施应具有安全防护措施，以避免操作者身体与设备的危险区域接触。</w:t>
      </w:r>
    </w:p>
    <w:p w14:paraId="229CB2D9">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3.3.25所有进入现场的人员必须穿戴合适的劳保用品，例如劳保鞋、安全帽、带侧面保护的眼镜等，并对现场施工做安全标识、警示标识。</w:t>
      </w:r>
    </w:p>
    <w:p w14:paraId="7EBA1435">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3.3.26所有的安全说明书及安全标志须符合国家标准，或用中文标识，在设备装运时，所有安全标志须由</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贴好。</w:t>
      </w:r>
    </w:p>
    <w:p w14:paraId="57E0E038">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3.3.27高处作业施工人员，严禁投掷物料，并做安全标识，做好防高处坠落、物体打击、防触电、防机械伤害的各项安全防护工作。</w:t>
      </w:r>
    </w:p>
    <w:p w14:paraId="1964011C">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3.3.28现场的各种安全防护设施，未经招标方批准，任何人不准随意拆改；</w:t>
      </w:r>
    </w:p>
    <w:p w14:paraId="5C334FE2">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3.3.29施工现场临时用电执行招标方要求及国家相关规定。</w:t>
      </w:r>
    </w:p>
    <w:p w14:paraId="1A75DB1B">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3.3.30进入现场，需按要求办理出入证件，招标方协助相关证件的办理；</w:t>
      </w:r>
    </w:p>
    <w:p w14:paraId="2FCA50C8">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3.3.31设备的安全与环保要求必须符合国家标准，在运转过程中应保证安全、可靠，无漏电、漏气现象。</w:t>
      </w:r>
    </w:p>
    <w:p w14:paraId="27D0CBAF">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3.3.32</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在安装现场施工时，必须严格遵守招标方制定的安全、防火规定和其它规章制度，遵守国家各项安全制度，并制订安全预案，文明施工，如因</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施工不遵守规章制度而造成的各种损失由</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负全责。</w:t>
      </w:r>
    </w:p>
    <w:p w14:paraId="1422B14A">
      <w:pPr>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应保证设备安装现场的环境卫生，在设备及材料运进工厂时应确保不损坏车间地表面和厂房内设施并按招标方规定位置存放，不得在施工现场进行打磨、除锈。现场材料和设备要堆放整齐，生产、生活垃圾必须及时清理干净，为保证整个安装及调试过程中现场和设备内部的清洁，</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应采取切实可行的措施，最终的深度清洁由</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负责。</w:t>
      </w:r>
    </w:p>
    <w:p w14:paraId="67052BB4">
      <w:pPr>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在整个项目施工期间，所有设备、零部件、制成品、工具、材料等均由</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看管、保护，损坏及丢失招标方一概不负责任，招标方只负责提供场所。</w:t>
      </w:r>
    </w:p>
    <w:p w14:paraId="13191014">
      <w:pPr>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所有主要的有可能做的材料（支吊架、连杆等）的表面清洁、切割、打磨、焊接和总体制作、底漆涂刷等工作必须在安装场地以外进行；任何需在现场制作、管子切割、焊接、攻丝等工作必须在指定的区域进行；</w:t>
      </w:r>
    </w:p>
    <w:p w14:paraId="75373A49">
      <w:pPr>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在开工前须提供系统设计安全方案，设备安装调试阶段的高风险项目安全预案，预案中要体现安全措施费用及人员配置。</w:t>
      </w:r>
    </w:p>
    <w:p w14:paraId="36904643">
      <w:pPr>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left="0" w:leftChars="0" w:firstLine="480" w:firstLineChars="200"/>
        <w:textAlignment w:val="auto"/>
        <w:rPr>
          <w:rFonts w:hint="default"/>
          <w:lang w:val="en-US" w:eastAsia="zh-CN"/>
        </w:rPr>
      </w:pPr>
      <w:r>
        <w:rPr>
          <w:rFonts w:hint="eastAsia" w:ascii="仿宋" w:hAnsi="仿宋" w:eastAsia="仿宋" w:cs="仿宋"/>
          <w:sz w:val="24"/>
          <w:szCs w:val="24"/>
          <w:highlight w:val="none"/>
          <w:lang w:val="en-US" w:eastAsia="zh-CN"/>
        </w:rPr>
        <w:t>设备安装调试过程中，</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须听从招标方指挥。</w:t>
      </w:r>
    </w:p>
    <w:p w14:paraId="0AD1BAD6">
      <w:pPr>
        <w:snapToGrid w:val="0"/>
        <w:spacing w:line="360" w:lineRule="auto"/>
        <w:ind w:firstLine="422" w:firstLineChars="200"/>
        <w:outlineLvl w:val="1"/>
        <w:rPr>
          <w:rFonts w:ascii="仿宋" w:hAnsi="仿宋" w:eastAsia="仿宋" w:cs="仿宋"/>
          <w:b/>
          <w:bCs/>
          <w:color w:val="000000" w:themeColor="text1"/>
          <w14:textFill>
            <w14:solidFill>
              <w14:schemeClr w14:val="tx1"/>
            </w14:solidFill>
          </w14:textFill>
        </w:rPr>
      </w:pPr>
      <w:bookmarkStart w:id="269" w:name="_Toc963"/>
      <w:bookmarkStart w:id="270" w:name="_Toc900"/>
      <w:bookmarkStart w:id="271" w:name="_Toc16723"/>
      <w:bookmarkStart w:id="272" w:name="_Toc31046"/>
      <w:bookmarkStart w:id="273" w:name="_Toc3096"/>
      <w:bookmarkStart w:id="274" w:name="_Toc28651"/>
      <w:bookmarkStart w:id="275" w:name="_Toc3721"/>
      <w:bookmarkStart w:id="276" w:name="_Toc28302"/>
      <w:bookmarkStart w:id="277" w:name="_Toc11582"/>
      <w:bookmarkStart w:id="278" w:name="_Toc73"/>
      <w:bookmarkStart w:id="279" w:name="_Toc16458"/>
      <w:bookmarkStart w:id="280" w:name="_Toc24239"/>
      <w:bookmarkStart w:id="281" w:name="_Toc6116"/>
      <w:bookmarkStart w:id="282" w:name="_Toc30526"/>
      <w:bookmarkStart w:id="283" w:name="_Toc4932"/>
      <w:bookmarkStart w:id="284" w:name="_Toc8256"/>
      <w:bookmarkStart w:id="285" w:name="_Toc28134"/>
      <w:bookmarkStart w:id="286" w:name="_Toc10838"/>
      <w:bookmarkStart w:id="287" w:name="_Toc466"/>
      <w:bookmarkStart w:id="288" w:name="_Toc14086"/>
      <w:bookmarkStart w:id="289" w:name="_Toc16595"/>
      <w:bookmarkStart w:id="290" w:name="_Toc25096"/>
      <w:bookmarkStart w:id="291" w:name="_Toc11237"/>
      <w:bookmarkStart w:id="292" w:name="_Toc12383"/>
      <w:bookmarkStart w:id="293" w:name="_Toc14715"/>
      <w:bookmarkStart w:id="294" w:name="_Toc31509"/>
      <w:bookmarkStart w:id="295" w:name="_Toc293"/>
      <w:bookmarkStart w:id="296" w:name="_Toc20271"/>
      <w:bookmarkStart w:id="297" w:name="_Toc11655"/>
      <w:bookmarkStart w:id="298" w:name="_Toc15063"/>
      <w:bookmarkStart w:id="299" w:name="_Toc24970"/>
      <w:bookmarkStart w:id="300" w:name="_Toc24311"/>
      <w:bookmarkStart w:id="301" w:name="_Toc17206"/>
      <w:bookmarkStart w:id="302" w:name="_Toc13730"/>
      <w:bookmarkStart w:id="303" w:name="_Toc73112402"/>
      <w:bookmarkStart w:id="304" w:name="_Toc10224"/>
      <w:bookmarkStart w:id="305" w:name="_Toc11448"/>
      <w:bookmarkStart w:id="306" w:name="_Toc12980"/>
      <w:bookmarkStart w:id="307" w:name="_Toc14754"/>
      <w:bookmarkStart w:id="308" w:name="_Toc2761"/>
      <w:bookmarkStart w:id="309" w:name="_Toc14191"/>
      <w:bookmarkStart w:id="310" w:name="_Toc8333"/>
      <w:bookmarkStart w:id="311" w:name="_Toc1717"/>
      <w:bookmarkStart w:id="312" w:name="_Toc2382"/>
      <w:bookmarkStart w:id="313" w:name="_Toc31832"/>
      <w:r>
        <w:rPr>
          <w:rFonts w:hint="eastAsia" w:ascii="仿宋" w:hAnsi="仿宋" w:eastAsia="仿宋" w:cs="仿宋"/>
          <w:b/>
          <w:bCs/>
          <w:color w:val="000000" w:themeColor="text1"/>
          <w14:textFill>
            <w14:solidFill>
              <w14:schemeClr w14:val="tx1"/>
            </w14:solidFill>
          </w14:textFill>
        </w:rPr>
        <w:t>4特别提示</w:t>
      </w:r>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p>
    <w:p w14:paraId="15D6F494">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4.1本技术要求，仅对功能、设计、结构、性能、安装和试验等方面，提出了最低和一般性的技术要求；并未对一切技术细节作出规定，未充分引述有关标准和规范的条文。投标方应保证提供的货物是符合本技术标书和国家最新的有关标准、规范的优质产品。若有异议，不管是多么微小，都应在投标文件“技术偏离”中予以详细说明。</w:t>
      </w:r>
    </w:p>
    <w:p w14:paraId="62185247">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4.2本技术要求所使用的标准、规范等，如与投标方所执行的标准、规范不一致时，应按高于本技术要求所列的标准、规范执行，并在投标文件“技术偏离”中予以说明。</w:t>
      </w:r>
    </w:p>
    <w:p w14:paraId="4103C406">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4.3投标方认为所供货物必需由招标方配备、解决或提供的其它要求，如设备基础隔振和减振设施、软化水、洁净气源等，均应在投标文件“技术偏离”中予以充分说明。</w:t>
      </w:r>
    </w:p>
    <w:p w14:paraId="073F34F4">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4.4投标方须负责在终验收前，在招标方设备现场对投标设备实施电能质量和公用电网谐波检测并出具检测报告。检测工作由投标方负责安排第三方实施（第三方的资质须由招标方认可）。</w:t>
      </w:r>
    </w:p>
    <w:p w14:paraId="359C1B49">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4.5投标文件中，针对“特别提示”条款所做的回应，将作为投标方能否中标的重要依据之一。</w:t>
      </w:r>
      <w:bookmarkStart w:id="314" w:name="_Toc133783970"/>
    </w:p>
    <w:p w14:paraId="75A2870E">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4.6投标方所投货物外观颜色标准按招标方提供的标准或双方书面约定的标准执行。</w:t>
      </w:r>
    </w:p>
    <w:p w14:paraId="519C32E8">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315" w:name="_Toc3808"/>
      <w:bookmarkStart w:id="316" w:name="_Toc32382"/>
      <w:bookmarkStart w:id="317" w:name="_Toc19081"/>
      <w:bookmarkStart w:id="318" w:name="_Toc16317"/>
      <w:bookmarkStart w:id="319" w:name="_Toc22662"/>
      <w:bookmarkStart w:id="320" w:name="_Toc22516"/>
      <w:bookmarkStart w:id="321" w:name="_Toc16352"/>
      <w:bookmarkStart w:id="322" w:name="_Toc24173"/>
      <w:bookmarkStart w:id="323" w:name="_Toc19812"/>
      <w:bookmarkStart w:id="324" w:name="_Toc31361"/>
      <w:bookmarkStart w:id="325" w:name="_Toc1909"/>
      <w:bookmarkStart w:id="326" w:name="_Toc21086"/>
      <w:bookmarkStart w:id="327" w:name="_Toc8892"/>
      <w:bookmarkStart w:id="328" w:name="_Toc26601"/>
      <w:bookmarkStart w:id="329" w:name="_Toc16316"/>
      <w:bookmarkStart w:id="330" w:name="_Toc30892"/>
      <w:bookmarkStart w:id="331" w:name="_Toc20994"/>
      <w:bookmarkStart w:id="332" w:name="_Toc22156"/>
      <w:bookmarkStart w:id="333" w:name="_Toc17909"/>
      <w:bookmarkStart w:id="334" w:name="_Toc20260"/>
      <w:bookmarkStart w:id="335" w:name="_Toc19805"/>
      <w:bookmarkStart w:id="336" w:name="_Toc1171"/>
      <w:bookmarkStart w:id="337" w:name="_Toc22710"/>
      <w:bookmarkStart w:id="338" w:name="_Toc4641"/>
      <w:bookmarkStart w:id="339" w:name="_Toc22347"/>
      <w:bookmarkStart w:id="340" w:name="_Toc28745"/>
      <w:bookmarkStart w:id="341" w:name="_Toc11725"/>
      <w:bookmarkStart w:id="342" w:name="_Toc31816"/>
      <w:bookmarkStart w:id="343" w:name="_Toc73112403"/>
      <w:bookmarkStart w:id="344" w:name="_Toc6352"/>
      <w:bookmarkStart w:id="345" w:name="_Toc20329"/>
      <w:bookmarkStart w:id="346" w:name="_Toc10828"/>
      <w:bookmarkStart w:id="347" w:name="_Toc13526"/>
      <w:bookmarkStart w:id="348" w:name="_Toc26551"/>
      <w:bookmarkStart w:id="349" w:name="_Toc7258"/>
      <w:bookmarkStart w:id="350" w:name="_Toc11390"/>
      <w:bookmarkStart w:id="351" w:name="_Toc29222"/>
      <w:bookmarkStart w:id="352" w:name="_Toc14583"/>
      <w:bookmarkStart w:id="353" w:name="_Toc1962"/>
      <w:bookmarkStart w:id="354" w:name="_Toc13783"/>
      <w:bookmarkStart w:id="355" w:name="_Toc19022"/>
      <w:bookmarkStart w:id="356" w:name="_Toc29006"/>
      <w:bookmarkStart w:id="357" w:name="_Toc20841"/>
      <w:bookmarkStart w:id="358" w:name="_Toc27327"/>
      <w:bookmarkStart w:id="359" w:name="_Toc28398"/>
      <w:r>
        <w:rPr>
          <w:rFonts w:hint="eastAsia" w:ascii="仿宋" w:hAnsi="仿宋" w:eastAsia="仿宋" w:cs="仿宋"/>
          <w:b/>
          <w:bCs/>
          <w:color w:val="000000" w:themeColor="text1"/>
          <w14:textFill>
            <w14:solidFill>
              <w14:schemeClr w14:val="tx1"/>
            </w14:solidFill>
          </w14:textFill>
        </w:rPr>
        <w:t>第三章供货范围及供货方式</w:t>
      </w:r>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p>
    <w:p w14:paraId="4C6B067A">
      <w:pPr>
        <w:pStyle w:val="5"/>
        <w:snapToGrid w:val="0"/>
        <w:spacing w:before="0" w:after="0" w:line="360" w:lineRule="auto"/>
        <w:ind w:left="6" w:firstLine="474"/>
        <w:jc w:val="center"/>
        <w:rPr>
          <w:rFonts w:ascii="仿宋" w:hAnsi="仿宋" w:eastAsia="仿宋" w:cs="仿宋"/>
          <w:b/>
          <w:bCs/>
          <w:color w:val="000000" w:themeColor="text1"/>
          <w:sz w:val="24"/>
          <w:szCs w:val="24"/>
          <w14:textFill>
            <w14:solidFill>
              <w14:schemeClr w14:val="tx1"/>
            </w14:solidFill>
          </w14:textFill>
        </w:rPr>
      </w:pPr>
      <w:bookmarkStart w:id="360" w:name="_Toc969"/>
      <w:bookmarkStart w:id="361" w:name="_Toc2288"/>
      <w:bookmarkStart w:id="362" w:name="_Toc13960"/>
      <w:bookmarkStart w:id="363" w:name="_Toc19111"/>
      <w:bookmarkStart w:id="364" w:name="_Toc16027"/>
      <w:bookmarkStart w:id="365" w:name="_Toc28344"/>
      <w:bookmarkStart w:id="366" w:name="_Toc19155"/>
      <w:bookmarkStart w:id="367" w:name="_Toc19860"/>
      <w:bookmarkStart w:id="368" w:name="_Toc6864"/>
      <w:bookmarkStart w:id="369" w:name="_Toc5052"/>
      <w:bookmarkStart w:id="370" w:name="_Toc14383"/>
      <w:bookmarkStart w:id="371" w:name="_Toc9580"/>
      <w:bookmarkStart w:id="372" w:name="_Toc27567"/>
      <w:bookmarkStart w:id="373" w:name="_Toc20301"/>
      <w:bookmarkStart w:id="374" w:name="_Toc6629"/>
      <w:bookmarkStart w:id="375" w:name="_Toc4896"/>
      <w:bookmarkStart w:id="376" w:name="_Toc26946"/>
      <w:bookmarkStart w:id="377" w:name="_Toc27831"/>
      <w:bookmarkStart w:id="378" w:name="_Toc20066"/>
      <w:bookmarkStart w:id="379" w:name="_Toc10323"/>
      <w:bookmarkStart w:id="380" w:name="_Toc13578"/>
      <w:bookmarkStart w:id="381" w:name="_Toc4032"/>
      <w:bookmarkStart w:id="382" w:name="_Toc8963"/>
      <w:bookmarkStart w:id="383" w:name="_Toc9994"/>
      <w:bookmarkStart w:id="384" w:name="_Toc680"/>
      <w:bookmarkStart w:id="385" w:name="_Toc11227"/>
      <w:bookmarkStart w:id="386" w:name="_Toc2127"/>
      <w:bookmarkStart w:id="387" w:name="_Toc18238"/>
      <w:bookmarkStart w:id="388" w:name="_Toc133783971"/>
      <w:bookmarkStart w:id="389" w:name="_Toc29751"/>
      <w:bookmarkStart w:id="390" w:name="_Toc20721"/>
      <w:bookmarkStart w:id="391" w:name="_Toc32542"/>
      <w:bookmarkStart w:id="392" w:name="_Toc17404"/>
      <w:bookmarkStart w:id="393" w:name="_Toc3639"/>
      <w:bookmarkStart w:id="394" w:name="_Toc32741"/>
      <w:bookmarkStart w:id="395" w:name="_Toc5032"/>
      <w:bookmarkStart w:id="396" w:name="_Toc11979"/>
      <w:bookmarkStart w:id="397" w:name="_Toc3358"/>
      <w:bookmarkStart w:id="398" w:name="_Toc73112404"/>
      <w:bookmarkStart w:id="399" w:name="_Toc5131"/>
      <w:bookmarkStart w:id="400" w:name="_Toc19908"/>
      <w:bookmarkStart w:id="401" w:name="_Toc31722"/>
      <w:bookmarkStart w:id="402" w:name="_Toc32750"/>
      <w:bookmarkStart w:id="403" w:name="_Toc8238"/>
      <w:bookmarkStart w:id="404" w:name="_Toc32716"/>
      <w:bookmarkStart w:id="405" w:name="_Toc9571"/>
      <w:bookmarkStart w:id="406" w:name="_Toc32286"/>
      <w:bookmarkStart w:id="407" w:name="_Toc12581"/>
      <w:bookmarkStart w:id="408" w:name="_Toc25354"/>
      <w:bookmarkStart w:id="409" w:name="_Toc6219"/>
      <w:r>
        <w:rPr>
          <w:rFonts w:hint="eastAsia" w:ascii="仿宋" w:hAnsi="仿宋" w:eastAsia="仿宋" w:cs="仿宋"/>
          <w:b/>
          <w:bCs/>
          <w:color w:val="000000" w:themeColor="text1"/>
          <w:sz w:val="24"/>
          <w:szCs w:val="24"/>
          <w14:textFill>
            <w14:solidFill>
              <w14:schemeClr w14:val="tx1"/>
            </w14:solidFill>
          </w14:textFill>
        </w:rPr>
        <w:t>第一节供货范围</w:t>
      </w:r>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p>
    <w:p w14:paraId="1C7ACFA0">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410" w:name="_Toc4815"/>
      <w:bookmarkStart w:id="411" w:name="_Toc18228"/>
      <w:bookmarkStart w:id="412" w:name="_Toc17029"/>
      <w:bookmarkStart w:id="413" w:name="_Toc14137"/>
      <w:bookmarkStart w:id="414" w:name="_Toc21071"/>
      <w:bookmarkStart w:id="415" w:name="_Toc272"/>
      <w:bookmarkStart w:id="416" w:name="_Toc4850"/>
      <w:bookmarkStart w:id="417" w:name="_Toc73112405"/>
      <w:bookmarkStart w:id="418" w:name="_Toc15878"/>
      <w:bookmarkStart w:id="419" w:name="_Toc17608"/>
      <w:bookmarkStart w:id="420" w:name="_Toc13760"/>
      <w:bookmarkStart w:id="421" w:name="_Toc17678"/>
      <w:bookmarkStart w:id="422" w:name="_Toc5149"/>
      <w:bookmarkStart w:id="423" w:name="_Toc28468"/>
      <w:bookmarkStart w:id="424" w:name="_Toc18305"/>
      <w:bookmarkStart w:id="425" w:name="_Toc6385"/>
      <w:bookmarkStart w:id="426" w:name="_Toc14280"/>
      <w:bookmarkStart w:id="427" w:name="_Toc29417"/>
      <w:bookmarkStart w:id="428" w:name="_Toc25761"/>
      <w:bookmarkStart w:id="429" w:name="_Toc9769"/>
      <w:r>
        <w:rPr>
          <w:rFonts w:hint="eastAsia" w:ascii="仿宋" w:hAnsi="仿宋" w:eastAsia="仿宋" w:cs="仿宋"/>
          <w:b/>
          <w:bCs/>
          <w:color w:val="000000" w:themeColor="text1"/>
          <w14:textFill>
            <w14:solidFill>
              <w14:schemeClr w14:val="tx1"/>
            </w14:solidFill>
          </w14:textFill>
        </w:rPr>
        <w:t>1主要供货范围</w:t>
      </w:r>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p>
    <w:p w14:paraId="175C0C16">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1.1招标方只提供所需厂房、货物的基本砼基础，如不满足项目需求，由投标方负责进行建设。</w:t>
      </w:r>
    </w:p>
    <w:p w14:paraId="6056EF8B">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1.2招标方只负责提供符合本技术标书中“采购货物概况”和“使用环境”章节所列明品质的电力、自来水、压缩空气、蒸汽、天然气（或煤气）管线至车间接口,投标方负责从车间接口到项目系统的对接。</w:t>
      </w:r>
    </w:p>
    <w:p w14:paraId="1251833D">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1.3投标方应提供包括货物正常运行所必需的全套连线设备、材料等；如：联接法兰外端面（含联接螺栓）之内的、电气系统接口压线板（插座等）之内的设备、材料等；</w:t>
      </w:r>
    </w:p>
    <w:p w14:paraId="167A7BCD">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1.4投标方应提供包括货物正常运行、使用所必需的过桥、护栏、防护网、盖板等辅助设施。标书中有要求的，按标书要求提供；标书中无具体要求而投标方认为必须具备的，在投标文件报价明细中，单独报价（但不计入税费等其它费用的计算基数）。</w:t>
      </w:r>
    </w:p>
    <w:p w14:paraId="057FE923">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1.5投标方应提供包括为达到环保、消防和职业健康等国家法律、法规和标准、规范要求的除尘系统、通风系统以及近距离照明系统等配套的设备、材料等。如投标方难以提供或无优势提供，则应当在投标文件的技术偏离条款中，予以详细说明并注明投标报价未包含该部分的货值。</w:t>
      </w:r>
    </w:p>
    <w:p w14:paraId="610053BF">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1.6投标方应提供包括为保证货物自身正常运行所必需的、适应使用地点条件的通风、冷却、降温系统等。</w:t>
      </w:r>
    </w:p>
    <w:p w14:paraId="0C75117A">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1.7投标方应提供包括为保证货物正常安装、调试和验收完成及以前所必需的整套配件、附件及材料、油料等。如果终验收完成后，投标方有需要收回的配件、附件、材料、油料等，应当在投标文件的技术偏离条款中，予以详细说明；否则视同包括在供货范围之内。</w:t>
      </w:r>
    </w:p>
    <w:p w14:paraId="5C551111">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1.8投标方应提供货物维修所必需的专用工具，并在投标报价部分说明数量。</w:t>
      </w:r>
    </w:p>
    <w:p w14:paraId="6A04D5C1">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430" w:name="_Toc29389"/>
      <w:bookmarkStart w:id="431" w:name="_Toc10211"/>
      <w:bookmarkStart w:id="432" w:name="_Toc10027"/>
      <w:bookmarkStart w:id="433" w:name="_Toc11531"/>
      <w:bookmarkStart w:id="434" w:name="_Toc30004"/>
      <w:bookmarkStart w:id="435" w:name="_Toc73112406"/>
      <w:bookmarkStart w:id="436" w:name="_Toc31074"/>
      <w:bookmarkStart w:id="437" w:name="_Toc31685"/>
      <w:bookmarkStart w:id="438" w:name="_Toc25570"/>
      <w:bookmarkStart w:id="439" w:name="_Toc20059"/>
      <w:bookmarkStart w:id="440" w:name="_Toc31723"/>
      <w:bookmarkStart w:id="441" w:name="_Toc18018"/>
      <w:bookmarkStart w:id="442" w:name="_Toc8330"/>
      <w:bookmarkStart w:id="443" w:name="_Toc3726"/>
      <w:bookmarkStart w:id="444" w:name="_Toc6916"/>
      <w:bookmarkStart w:id="445" w:name="_Toc30087"/>
      <w:bookmarkStart w:id="446" w:name="_Toc2744"/>
      <w:bookmarkStart w:id="447" w:name="_Toc19187"/>
      <w:bookmarkStart w:id="448" w:name="_Toc434"/>
      <w:bookmarkStart w:id="449" w:name="_Toc5521"/>
      <w:r>
        <w:rPr>
          <w:rFonts w:hint="eastAsia" w:ascii="仿宋" w:hAnsi="仿宋" w:eastAsia="仿宋" w:cs="仿宋"/>
          <w:b/>
          <w:bCs/>
          <w:color w:val="000000" w:themeColor="text1"/>
          <w14:textFill>
            <w14:solidFill>
              <w14:schemeClr w14:val="tx1"/>
            </w14:solidFill>
          </w14:textFill>
        </w:rPr>
        <w:t>2备品备件、易损件和专用耗材供货范围</w:t>
      </w:r>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p>
    <w:p w14:paraId="05F8A44C">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2.1招标方招标文件所指备品备件、易损件和专用耗材，是招标方为保证货物质保期之后正常运行一年所自备自用的备品备件、易损件和专用耗材。</w:t>
      </w:r>
    </w:p>
    <w:p w14:paraId="3823E990">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2.2投标方按照招标文件要求提供、或投标方认为招标方应当储备的备品备件、易损件和专用耗材，投标方应当在投标报价部分分别说明所列备品备件、易损件和专用耗材的使用时间。</w:t>
      </w:r>
    </w:p>
    <w:p w14:paraId="4598B68B">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2.3投标方应提供易损件和专用耗材的制造图纸及其技术要求等资料。</w:t>
      </w:r>
    </w:p>
    <w:p w14:paraId="335B79D7">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2.4投标文件中，应当有备品备件、易损件和专用耗材的详细清单（内容包括名称、型号、规格、单位、数量、生产厂家、单价、总价等）。机床和机器人的主要参数、配置表、关键件和进口外购明细表、随机附明细表、技术文件明细表等。</w:t>
      </w:r>
    </w:p>
    <w:p w14:paraId="2FB65EBD">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2.5备品备件、易损件和专用耗材的费用应分类单列，并计入投标总报价之内。</w:t>
      </w:r>
    </w:p>
    <w:p w14:paraId="0AD361C1">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450" w:name="_Toc21438"/>
      <w:bookmarkStart w:id="451" w:name="_Toc30185"/>
      <w:bookmarkStart w:id="452" w:name="_Toc11396"/>
      <w:bookmarkStart w:id="453" w:name="_Toc20956"/>
      <w:bookmarkStart w:id="454" w:name="_Toc27176"/>
      <w:bookmarkStart w:id="455" w:name="_Toc8769"/>
      <w:bookmarkStart w:id="456" w:name="_Toc23668"/>
      <w:bookmarkStart w:id="457" w:name="_Toc19082"/>
      <w:bookmarkStart w:id="458" w:name="_Toc29622"/>
      <w:bookmarkStart w:id="459" w:name="_Toc30333"/>
      <w:bookmarkStart w:id="460" w:name="_Toc13573"/>
      <w:bookmarkStart w:id="461" w:name="_Toc14387"/>
      <w:bookmarkStart w:id="462" w:name="_Toc26974"/>
      <w:bookmarkStart w:id="463" w:name="_Toc73112407"/>
      <w:bookmarkStart w:id="464" w:name="_Toc253"/>
      <w:bookmarkStart w:id="465" w:name="_Toc29526"/>
      <w:bookmarkStart w:id="466" w:name="_Toc6474"/>
      <w:bookmarkStart w:id="467" w:name="_Toc29028"/>
      <w:bookmarkStart w:id="468" w:name="_Toc30460"/>
      <w:bookmarkStart w:id="469" w:name="_Toc8994"/>
      <w:r>
        <w:rPr>
          <w:rFonts w:hint="eastAsia" w:ascii="仿宋" w:hAnsi="仿宋" w:eastAsia="仿宋" w:cs="仿宋"/>
          <w:b/>
          <w:bCs/>
          <w:color w:val="000000" w:themeColor="text1"/>
          <w14:textFill>
            <w14:solidFill>
              <w14:schemeClr w14:val="tx1"/>
            </w14:solidFill>
          </w14:textFill>
        </w:rPr>
        <w:t>3技术资料供货范围</w:t>
      </w:r>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p>
    <w:p w14:paraId="2C21F49A">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bookmarkStart w:id="470" w:name="_Toc8309"/>
      <w:bookmarkStart w:id="471" w:name="_Toc29107"/>
      <w:bookmarkStart w:id="472" w:name="_Toc17613"/>
      <w:bookmarkStart w:id="473" w:name="_Toc5634"/>
      <w:bookmarkStart w:id="474" w:name="_Toc27636"/>
      <w:bookmarkStart w:id="475" w:name="_Toc25983"/>
      <w:bookmarkStart w:id="476" w:name="_Toc22358"/>
      <w:bookmarkStart w:id="477" w:name="_Toc18492"/>
      <w:bookmarkStart w:id="478" w:name="_Toc4676"/>
      <w:bookmarkStart w:id="479" w:name="_Toc133783972"/>
      <w:bookmarkStart w:id="480" w:name="_Toc17572"/>
      <w:bookmarkStart w:id="481" w:name="_Toc1998"/>
      <w:bookmarkStart w:id="482" w:name="_Toc16163"/>
      <w:bookmarkStart w:id="483" w:name="_Toc73112408"/>
      <w:bookmarkStart w:id="484" w:name="_Toc3580"/>
      <w:bookmarkStart w:id="485" w:name="_Toc23856"/>
      <w:bookmarkStart w:id="486" w:name="_Toc18118"/>
      <w:bookmarkStart w:id="487" w:name="_Toc3548"/>
      <w:bookmarkStart w:id="488" w:name="_Toc10692"/>
      <w:bookmarkStart w:id="489" w:name="_Toc30635"/>
      <w:bookmarkStart w:id="490" w:name="_Toc17660"/>
      <w:bookmarkStart w:id="491" w:name="_Toc15620"/>
      <w:bookmarkStart w:id="492" w:name="_Toc13201"/>
      <w:bookmarkStart w:id="493" w:name="_Toc18839"/>
      <w:bookmarkStart w:id="494" w:name="_Toc4601"/>
      <w:bookmarkStart w:id="495" w:name="_Toc16689"/>
      <w:bookmarkStart w:id="496" w:name="_Toc29792"/>
      <w:bookmarkStart w:id="497" w:name="_Toc4183"/>
      <w:bookmarkStart w:id="498" w:name="_Toc81"/>
      <w:bookmarkStart w:id="499" w:name="_Toc19194"/>
      <w:bookmarkStart w:id="500" w:name="_Toc23025"/>
      <w:bookmarkStart w:id="501" w:name="_Toc4381"/>
      <w:bookmarkStart w:id="502" w:name="_Toc1897"/>
      <w:bookmarkStart w:id="503" w:name="_Toc11851"/>
      <w:bookmarkStart w:id="504" w:name="_Toc24898"/>
      <w:bookmarkStart w:id="505" w:name="_Toc15671"/>
      <w:bookmarkStart w:id="506" w:name="_Toc6313"/>
      <w:bookmarkStart w:id="507" w:name="_Toc27960"/>
      <w:bookmarkStart w:id="508" w:name="_Toc21360"/>
      <w:bookmarkStart w:id="509" w:name="_Toc20754"/>
      <w:bookmarkStart w:id="510" w:name="_Toc603"/>
      <w:bookmarkStart w:id="511" w:name="_Toc12288"/>
      <w:bookmarkStart w:id="512" w:name="_Toc11837"/>
      <w:r>
        <w:rPr>
          <w:rFonts w:hint="eastAsia" w:ascii="仿宋" w:hAnsi="仿宋" w:eastAsia="仿宋" w:cs="仿宋"/>
          <w:color w:val="000000" w:themeColor="text1"/>
          <w14:textFill>
            <w14:solidFill>
              <w14:schemeClr w14:val="tx1"/>
            </w14:solidFill>
          </w14:textFill>
        </w:rPr>
        <w:t xml:space="preserve">3.1投标方须负责在被通知中标之日起 </w:t>
      </w:r>
      <w:r>
        <w:rPr>
          <w:rFonts w:hint="eastAsia" w:ascii="仿宋" w:hAnsi="仿宋" w:eastAsia="仿宋" w:cs="仿宋"/>
          <w:u w:val="single"/>
          <w:shd w:val="pct10" w:color="auto" w:fill="FFFFFF"/>
        </w:rPr>
        <w:t xml:space="preserve">  30   </w:t>
      </w:r>
      <w:r>
        <w:rPr>
          <w:rFonts w:hint="eastAsia" w:ascii="仿宋" w:hAnsi="仿宋" w:eastAsia="仿宋" w:cs="仿宋"/>
          <w:color w:val="000000" w:themeColor="text1"/>
          <w14:textFill>
            <w14:solidFill>
              <w14:schemeClr w14:val="tx1"/>
            </w14:solidFill>
          </w14:textFill>
        </w:rPr>
        <w:t>个日历日内，提供货物基础及相关的设计、制作所需的纸质及电子版资料；电子版文件应当能够使用常用</w:t>
      </w:r>
      <w:r>
        <w:rPr>
          <w:rFonts w:ascii="宋体" w:hAnsi="宋体"/>
          <w:u w:val="single"/>
          <w:shd w:val="pct10" w:color="auto" w:fill="FFFFFF"/>
        </w:rPr>
        <w:t xml:space="preserve">  </w:t>
      </w:r>
      <w:r>
        <w:rPr>
          <w:rFonts w:hint="eastAsia" w:ascii="仿宋" w:hAnsi="仿宋" w:eastAsia="仿宋" w:cs="仿宋"/>
          <w:color w:val="000000" w:themeColor="text1"/>
          <w14:textFill>
            <w14:solidFill>
              <w14:schemeClr w14:val="tx1"/>
            </w14:solidFill>
          </w14:textFill>
        </w:rPr>
        <w:t>版本软件可以阅读甚至使用，进口货物、设备应有中外文对照。</w:t>
      </w:r>
    </w:p>
    <w:p w14:paraId="202677FA">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3.2投标方应同时提出对厂房、基础、公用设施、消防、环保、职业危害等超出招标文件、投标文件、答疑文件、技术交流文件、技术协议书和合同等规定的、有特殊需要的解释、说明和要求。</w:t>
      </w:r>
    </w:p>
    <w:p w14:paraId="5C4BE40C">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3.3投标方须负责在预验收前，提供货物各部分的功能描述文件、图片、影像等资料（进口、设备应有中外文对照）。</w:t>
      </w:r>
    </w:p>
    <w:p w14:paraId="653E4D87">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3.4投标方须负责在终验收前，提供招标方为保证货物正常运行所需后续自制的工装、吊（挂）具明细及其图纸、具体技术要求等资料（如果供货范围包含该部分实物）。</w:t>
      </w:r>
    </w:p>
    <w:p w14:paraId="40603B6F">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3.5投标方须负责在交货之前，提供确定的而且质保期之后招标方维修所需要的、可以自行采购的外购件、外协件、电气元件及主要原材料的供货厂家明细表。</w:t>
      </w:r>
    </w:p>
    <w:p w14:paraId="36964199">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3.6投标方须负责在终验收前，提供包括货物的备品备件、易损件和专用耗材规定的图纸及技术参数、技术要求等资料。</w:t>
      </w:r>
    </w:p>
    <w:p w14:paraId="5A3F988C">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3.7投标方须负责在终验收前，提供关于采购货物的操作维护手册、保养维修手册、安全注意事项等的使用说明书、仪器仪表检定和使用维修说明书、合格证、产品样本等技术资料（含图片和影像等资料）；对于进口设备，应有中外文资料说明。</w:t>
      </w:r>
    </w:p>
    <w:p w14:paraId="1E5EB22D">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3.8外购部件提供正规装配图及零件明细;标准件提供明细（包括型号、规格、部位、数量、制造厂家）并与装配图一一对应总装配图和主要部件的装配图，全部自制或非标设计零件正规图纸，提供机床所有零件的明细表，零件号与装配图应一一对应，且能方便地查找零件在装配图上的位置；提供关键件、易损件零件图。</w:t>
      </w:r>
    </w:p>
    <w:p w14:paraId="35513EAC">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3.9提供关键件，易损件明细;提供所有电气元件，液压元件，气动元件，润滑元件明细表（包括型号、规格、部位、数量、制造厂家）；</w:t>
      </w:r>
    </w:p>
    <w:p w14:paraId="3A9E4700">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3.8 主要外购装置、外购件、系统的使用指导说明书。</w:t>
      </w:r>
    </w:p>
    <w:p w14:paraId="1ED70E9F">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3.9主要零部件、元器件，由投标方负责检验，并提供检验报告。</w:t>
      </w:r>
    </w:p>
    <w:p w14:paraId="4CF82F75">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3.10 应提供设备出厂所必须的精度检验证书、性能测试记录和报告。</w:t>
      </w:r>
    </w:p>
    <w:p w14:paraId="09A1D6B6">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3.11 提供设备消耗水、电、气的详细资料。</w:t>
      </w:r>
    </w:p>
    <w:p w14:paraId="5F870480">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3.12 保证设备正常运行、维护和保养必需的其他参数和资料。</w:t>
      </w:r>
    </w:p>
    <w:p w14:paraId="030F5E3F">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3.13 投标方须负责在合同签订后</w:t>
      </w:r>
      <w:r>
        <w:rPr>
          <w:rFonts w:hint="eastAsia" w:ascii="仿宋" w:hAnsi="仿宋" w:eastAsia="仿宋" w:cs="仿宋"/>
          <w:u w:val="single"/>
          <w:shd w:val="pct10" w:color="auto" w:fill="FFFFFF"/>
        </w:rPr>
        <w:t xml:space="preserve">  30  </w:t>
      </w:r>
      <w:r>
        <w:rPr>
          <w:rFonts w:hint="eastAsia" w:ascii="仿宋" w:hAnsi="仿宋" w:eastAsia="仿宋" w:cs="仿宋"/>
          <w:color w:val="000000" w:themeColor="text1"/>
          <w14:textFill>
            <w14:solidFill>
              <w14:schemeClr w14:val="tx1"/>
            </w14:solidFill>
          </w14:textFill>
        </w:rPr>
        <w:t>日内，提供设备基础及相关的安装、设计资料，并提供电子版资料文件，文件格式为：.doc,.dwg或.dxf；（进口货物、设备应有中外文对照）；并同时提出对厂房、基础、公用设施、消防、环保、职业危害等不超出招标文件、投标文件、答疑文件、技术交流文件、技术协议书和合同等规定的、有特殊要求的解释、说明和要求。</w:t>
      </w:r>
    </w:p>
    <w:p w14:paraId="254CAE96">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3.14投标方须负责在设备到达招标方工厂时，与设备一并提供包括设备的设计总图、装配图（包括零部件件号、名称、型号规格、数量等）、设备全线布置图、电气资料（包括接线图、原理图、布线图、梯形图等）、液压（气动）原理图和系统图、安装基础图、维修图等有关的资料、图片、影像等资料(对于进口设备，应有中外文资料说明)，设备外形三维图纸和二维图纸。</w:t>
      </w:r>
    </w:p>
    <w:p w14:paraId="187A0CAF">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3.15 本“技术资料范围”所列三维图纸能够用PROE或SOLIDWORKS等常用软件阅览和编辑，二维图纸能够用AUTOCAD、CAXA等常用软件阅览和编辑。</w:t>
      </w:r>
    </w:p>
    <w:p w14:paraId="352584CC">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3.16本“技术资料范围”所列的技术资料、图片、影像等，投标方应各提供5套，其中2套为电子版光盘；每份技术文件应装有目录清单。</w:t>
      </w:r>
    </w:p>
    <w:p w14:paraId="10613897">
      <w:pPr>
        <w:pStyle w:val="19"/>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3.17本“技术资料范围”所列要求，如招标方认为投标方提供的资料不能满足要求时，有权要求投标方补充或增加。</w:t>
      </w:r>
    </w:p>
    <w:p w14:paraId="20E876B7">
      <w:pPr>
        <w:pStyle w:val="19"/>
        <w:snapToGrid w:val="0"/>
        <w:spacing w:line="360" w:lineRule="auto"/>
        <w:ind w:left="6" w:firstLine="474" w:firstLineChars="0"/>
        <w:jc w:val="center"/>
        <w:rPr>
          <w:rFonts w:ascii="仿宋" w:hAnsi="仿宋" w:eastAsia="仿宋" w:cs="仿宋"/>
          <w:b/>
          <w:bCs/>
          <w:color w:val="000000" w:themeColor="text1"/>
          <w14:textFill>
            <w14:solidFill>
              <w14:schemeClr w14:val="tx1"/>
            </w14:solidFill>
          </w14:textFill>
        </w:rPr>
      </w:pPr>
      <w:r>
        <w:rPr>
          <w:rFonts w:hint="eastAsia" w:ascii="仿宋" w:hAnsi="仿宋" w:eastAsia="仿宋" w:cs="仿宋"/>
          <w:b/>
          <w:bCs/>
          <w:color w:val="000000" w:themeColor="text1"/>
          <w14:textFill>
            <w14:solidFill>
              <w14:schemeClr w14:val="tx1"/>
            </w14:solidFill>
          </w14:textFill>
        </w:rPr>
        <w:t>第二节供货方式</w:t>
      </w:r>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p>
    <w:p w14:paraId="51493728">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13" w:name="_Toc10286"/>
      <w:bookmarkStart w:id="514" w:name="_Toc28962"/>
      <w:bookmarkStart w:id="515" w:name="_Toc14135"/>
      <w:bookmarkStart w:id="516" w:name="_Toc28534"/>
      <w:bookmarkStart w:id="517" w:name="_Toc24179"/>
      <w:bookmarkStart w:id="518" w:name="_Toc19237"/>
      <w:bookmarkStart w:id="519" w:name="_Toc28222"/>
      <w:bookmarkStart w:id="520" w:name="_Toc18282"/>
      <w:bookmarkStart w:id="521" w:name="_Toc28360"/>
      <w:bookmarkStart w:id="522" w:name="_Toc4344"/>
      <w:bookmarkStart w:id="523" w:name="_Toc3032"/>
      <w:bookmarkStart w:id="524" w:name="_Toc28759"/>
      <w:bookmarkStart w:id="525" w:name="_Toc11533"/>
      <w:bookmarkStart w:id="526" w:name="_Toc27005"/>
      <w:bookmarkStart w:id="527" w:name="_Toc73112409"/>
      <w:bookmarkStart w:id="528" w:name="_Toc32491"/>
      <w:bookmarkStart w:id="529" w:name="_Toc1116"/>
      <w:bookmarkStart w:id="530" w:name="_Toc22679"/>
      <w:bookmarkStart w:id="531" w:name="_Toc20263"/>
      <w:bookmarkStart w:id="532" w:name="_Toc1474"/>
      <w:r>
        <w:rPr>
          <w:rFonts w:hint="eastAsia" w:ascii="仿宋" w:hAnsi="仿宋" w:eastAsia="仿宋" w:cs="仿宋"/>
          <w:b/>
          <w:bCs/>
          <w:color w:val="000000" w:themeColor="text1"/>
          <w14:textFill>
            <w14:solidFill>
              <w14:schemeClr w14:val="tx1"/>
            </w14:solidFill>
          </w14:textFill>
        </w:rPr>
        <w:t>1供货地点</w:t>
      </w:r>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p>
    <w:p w14:paraId="2D8FB642">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本项目建设工地。</w:t>
      </w:r>
    </w:p>
    <w:p w14:paraId="5C187E46">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33" w:name="_Toc22044"/>
      <w:bookmarkStart w:id="534" w:name="_Toc6707"/>
      <w:bookmarkStart w:id="535" w:name="_Toc73112410"/>
      <w:bookmarkStart w:id="536" w:name="_Toc27724"/>
      <w:bookmarkStart w:id="537" w:name="_Toc8043"/>
      <w:bookmarkStart w:id="538" w:name="_Toc11152"/>
      <w:bookmarkStart w:id="539" w:name="_Toc21521"/>
      <w:bookmarkStart w:id="540" w:name="_Toc31657"/>
      <w:bookmarkStart w:id="541" w:name="_Toc6963"/>
      <w:bookmarkStart w:id="542" w:name="_Toc30858"/>
      <w:bookmarkStart w:id="543" w:name="_Toc26178"/>
      <w:bookmarkStart w:id="544" w:name="_Toc27558"/>
      <w:bookmarkStart w:id="545" w:name="_Toc531"/>
      <w:bookmarkStart w:id="546" w:name="_Toc26611"/>
      <w:bookmarkStart w:id="547" w:name="_Toc5862"/>
      <w:bookmarkStart w:id="548" w:name="_Toc2280"/>
      <w:bookmarkStart w:id="549" w:name="_Toc11086"/>
      <w:bookmarkStart w:id="550" w:name="_Toc20257"/>
      <w:bookmarkStart w:id="551" w:name="_Toc9856"/>
      <w:bookmarkStart w:id="552" w:name="_Toc4215"/>
      <w:r>
        <w:rPr>
          <w:rFonts w:hint="eastAsia" w:ascii="仿宋" w:hAnsi="仿宋" w:eastAsia="仿宋" w:cs="仿宋"/>
          <w:b/>
          <w:bCs/>
          <w:color w:val="000000" w:themeColor="text1"/>
          <w14:textFill>
            <w14:solidFill>
              <w14:schemeClr w14:val="tx1"/>
            </w14:solidFill>
          </w14:textFill>
        </w:rPr>
        <w:t>2供货时间</w:t>
      </w:r>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p>
    <w:p w14:paraId="28924E8C">
      <w:pPr>
        <w:snapToGrid w:val="0"/>
        <w:spacing w:line="360" w:lineRule="auto"/>
        <w:ind w:firstLine="420" w:firstLineChars="200"/>
        <w:jc w:val="left"/>
        <w:rPr>
          <w:rFonts w:ascii="仿宋" w:hAnsi="仿宋" w:eastAsia="仿宋" w:cs="仿宋"/>
          <w:strike/>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2.1投标方应自</w:t>
      </w:r>
      <w:r>
        <w:rPr>
          <w:rFonts w:hint="eastAsia" w:ascii="仿宋" w:hAnsi="仿宋" w:eastAsia="仿宋" w:cs="仿宋"/>
          <w:color w:val="000000" w:themeColor="text1"/>
          <w:lang w:val="en-US" w:eastAsia="zh-CN"/>
          <w14:textFill>
            <w14:solidFill>
              <w14:schemeClr w14:val="tx1"/>
            </w14:solidFill>
          </w14:textFill>
        </w:rPr>
        <w:t>合同生效后</w:t>
      </w:r>
      <w:r>
        <w:rPr>
          <w:rFonts w:hint="eastAsia" w:ascii="仿宋" w:hAnsi="仿宋" w:eastAsia="仿宋" w:cs="仿宋"/>
          <w:color w:val="000000" w:themeColor="text1"/>
          <w14:textFill>
            <w14:solidFill>
              <w14:schemeClr w14:val="tx1"/>
            </w14:solidFill>
          </w14:textFill>
        </w:rPr>
        <w:t>后，</w:t>
      </w:r>
      <w:r>
        <w:rPr>
          <w:rFonts w:hint="eastAsia" w:ascii="仿宋" w:hAnsi="仿宋" w:eastAsia="仿宋" w:cs="仿宋"/>
          <w:color w:val="000000" w:themeColor="text1"/>
          <w:u w:val="single"/>
          <w:shd w:val="pct10" w:color="auto" w:fill="FFFFFF"/>
          <w:lang w:val="en-US" w:eastAsia="zh-CN"/>
          <w14:textFill>
            <w14:solidFill>
              <w14:schemeClr w14:val="tx1"/>
            </w14:solidFill>
          </w14:textFill>
        </w:rPr>
        <w:t>30个</w:t>
      </w:r>
      <w:r>
        <w:rPr>
          <w:rFonts w:hint="eastAsia" w:ascii="仿宋" w:hAnsi="仿宋" w:eastAsia="仿宋" w:cs="仿宋"/>
          <w:color w:val="000000" w:themeColor="text1"/>
          <w14:textFill>
            <w14:solidFill>
              <w14:schemeClr w14:val="tx1"/>
            </w14:solidFill>
          </w14:textFill>
        </w:rPr>
        <w:t>日历日之内交货至供货地点。</w:t>
      </w:r>
    </w:p>
    <w:p w14:paraId="3176B51A">
      <w:pPr>
        <w:snapToGrid w:val="0"/>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2.2连续</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u w:val="single"/>
          <w:shd w:val="pct10" w:color="auto" w:fill="FFFFFF"/>
          <w14:textFill>
            <w14:solidFill>
              <w14:schemeClr w14:val="tx1"/>
            </w14:solidFill>
          </w14:textFill>
        </w:rPr>
        <w:t>20</w:t>
      </w:r>
      <w:r>
        <w:rPr>
          <w:rFonts w:hint="eastAsia" w:ascii="仿宋" w:hAnsi="仿宋" w:eastAsia="仿宋" w:cs="仿宋"/>
          <w:color w:val="000000" w:themeColor="text1"/>
          <w14:textFill>
            <w14:solidFill>
              <w14:schemeClr w14:val="tx1"/>
            </w14:solidFill>
          </w14:textFill>
        </w:rPr>
        <w:t>个日历日之内安装调试完毕；</w:t>
      </w:r>
    </w:p>
    <w:p w14:paraId="6137332B">
      <w:pPr>
        <w:snapToGrid w:val="0"/>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2.3连续</w:t>
      </w:r>
      <w:r>
        <w:rPr>
          <w:rFonts w:hint="eastAsia" w:ascii="仿宋" w:hAnsi="仿宋" w:eastAsia="仿宋" w:cs="仿宋"/>
          <w:color w:val="000000" w:themeColor="text1"/>
          <w:u w:val="single"/>
          <w:shd w:val="pct10" w:color="auto" w:fill="FFFFFF"/>
          <w14:textFill>
            <w14:solidFill>
              <w14:schemeClr w14:val="tx1"/>
            </w14:solidFill>
          </w14:textFill>
        </w:rPr>
        <w:t xml:space="preserve"> </w:t>
      </w:r>
      <w:r>
        <w:rPr>
          <w:rFonts w:hint="eastAsia" w:ascii="仿宋" w:hAnsi="仿宋" w:eastAsia="仿宋" w:cs="仿宋"/>
          <w:color w:val="000000" w:themeColor="text1"/>
          <w:u w:val="single"/>
          <w:shd w:val="pct10" w:color="auto" w:fill="FFFFFF"/>
          <w:lang w:val="en-US" w:eastAsia="zh-CN"/>
          <w14:textFill>
            <w14:solidFill>
              <w14:schemeClr w14:val="tx1"/>
            </w14:solidFill>
          </w14:textFill>
        </w:rPr>
        <w:t>20</w:t>
      </w:r>
      <w:r>
        <w:rPr>
          <w:rFonts w:hint="eastAsia" w:ascii="仿宋" w:hAnsi="仿宋" w:eastAsia="仿宋" w:cs="仿宋"/>
          <w:color w:val="000000" w:themeColor="text1"/>
          <w14:textFill>
            <w14:solidFill>
              <w14:schemeClr w14:val="tx1"/>
            </w14:solidFill>
          </w14:textFill>
        </w:rPr>
        <w:t>个日历日之内完成终验收。</w:t>
      </w:r>
    </w:p>
    <w:p w14:paraId="77EA81E4">
      <w:pPr>
        <w:snapToGrid w:val="0"/>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2.4必要时，投标方应当提供详细的工期计划。</w:t>
      </w:r>
    </w:p>
    <w:p w14:paraId="0CDBA6E3">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53" w:name="_Toc5288"/>
      <w:bookmarkStart w:id="554" w:name="_Toc23122"/>
      <w:bookmarkStart w:id="555" w:name="_Toc18845"/>
      <w:bookmarkStart w:id="556" w:name="_Toc29786"/>
      <w:bookmarkStart w:id="557" w:name="_Toc8419"/>
      <w:bookmarkStart w:id="558" w:name="_Toc4431"/>
      <w:bookmarkStart w:id="559" w:name="_Toc9507"/>
      <w:bookmarkStart w:id="560" w:name="_Toc30983"/>
      <w:bookmarkStart w:id="561" w:name="_Toc18153"/>
      <w:bookmarkStart w:id="562" w:name="_Toc11749"/>
      <w:bookmarkStart w:id="563" w:name="_Toc31485"/>
      <w:bookmarkStart w:id="564" w:name="_Toc17351"/>
      <w:bookmarkStart w:id="565" w:name="_Toc8193"/>
      <w:bookmarkStart w:id="566" w:name="_Toc24587"/>
      <w:bookmarkStart w:id="567" w:name="_Toc16960"/>
      <w:bookmarkStart w:id="568" w:name="_Toc22617"/>
      <w:bookmarkStart w:id="569" w:name="_Toc17489"/>
      <w:bookmarkStart w:id="570" w:name="_Toc73112411"/>
      <w:bookmarkStart w:id="571" w:name="_Toc22968"/>
      <w:bookmarkStart w:id="572" w:name="_Toc22394"/>
      <w:r>
        <w:rPr>
          <w:rFonts w:hint="eastAsia" w:ascii="仿宋" w:hAnsi="仿宋" w:eastAsia="仿宋" w:cs="仿宋"/>
          <w:b/>
          <w:bCs/>
          <w:color w:val="000000" w:themeColor="text1"/>
          <w14:textFill>
            <w14:solidFill>
              <w14:schemeClr w14:val="tx1"/>
            </w14:solidFill>
          </w14:textFill>
        </w:rPr>
        <w:t>3质保期</w:t>
      </w:r>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p>
    <w:p w14:paraId="28B0FF77">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3.1投标方所提供货物涉及的全部供货范围内的设备、材料、零配件和工器具等，除合同特别约定外，其质保期均自终验收签字生效之日起</w:t>
      </w:r>
      <w:r>
        <w:rPr>
          <w:rFonts w:hint="eastAsia" w:ascii="仿宋" w:hAnsi="仿宋" w:eastAsia="仿宋" w:cs="仿宋"/>
          <w:color w:val="000000" w:themeColor="text1"/>
          <w:u w:val="single"/>
          <w:shd w:val="pct10" w:color="auto" w:fill="FFFFFF"/>
          <w14:textFill>
            <w14:solidFill>
              <w14:schemeClr w14:val="tx1"/>
            </w14:solidFill>
          </w14:textFill>
        </w:rPr>
        <w:t>12</w:t>
      </w:r>
      <w:r>
        <w:rPr>
          <w:rFonts w:hint="eastAsia" w:ascii="仿宋" w:hAnsi="仿宋" w:eastAsia="仿宋" w:cs="仿宋"/>
          <w:color w:val="000000" w:themeColor="text1"/>
          <w14:textFill>
            <w14:solidFill>
              <w14:schemeClr w14:val="tx1"/>
            </w14:solidFill>
          </w14:textFill>
        </w:rPr>
        <w:t>个月。</w:t>
      </w:r>
    </w:p>
    <w:p w14:paraId="29D42CF5">
      <w:pPr>
        <w:snapToGrid w:val="0"/>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3.2质保期之内，如果货物出现关键设备、总成、零部件或者多处一般设备、总成、零部件的更换或维修行为，则质保期自更换或维修行为结束、货物能够正常运行使用之日起重新计算。</w:t>
      </w:r>
    </w:p>
    <w:p w14:paraId="455DF4CE">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73" w:name="_Toc29090"/>
      <w:bookmarkStart w:id="574" w:name="_Toc20400"/>
      <w:bookmarkStart w:id="575" w:name="_Toc12791"/>
      <w:bookmarkStart w:id="576" w:name="_Toc16381"/>
      <w:bookmarkStart w:id="577" w:name="_Toc73112412"/>
      <w:bookmarkStart w:id="578" w:name="_Toc27377"/>
      <w:bookmarkStart w:id="579" w:name="_Toc19011"/>
      <w:bookmarkStart w:id="580" w:name="_Toc27729"/>
      <w:bookmarkStart w:id="581" w:name="_Toc17320"/>
      <w:bookmarkStart w:id="582" w:name="_Toc21924"/>
      <w:bookmarkStart w:id="583" w:name="_Toc16664"/>
      <w:bookmarkStart w:id="584" w:name="_Toc426"/>
      <w:bookmarkStart w:id="585" w:name="_Toc27080"/>
      <w:bookmarkStart w:id="586" w:name="_Toc21555"/>
      <w:bookmarkStart w:id="587" w:name="_Toc28907"/>
      <w:bookmarkStart w:id="588" w:name="_Toc14622"/>
      <w:bookmarkStart w:id="589" w:name="_Toc20248"/>
      <w:bookmarkStart w:id="590" w:name="_Toc5126"/>
      <w:bookmarkStart w:id="591" w:name="_Toc26040"/>
      <w:bookmarkStart w:id="592" w:name="_Toc10272"/>
      <w:r>
        <w:rPr>
          <w:rFonts w:hint="eastAsia" w:ascii="仿宋" w:hAnsi="仿宋" w:eastAsia="仿宋" w:cs="仿宋"/>
          <w:b/>
          <w:bCs/>
          <w:color w:val="000000" w:themeColor="text1"/>
          <w14:textFill>
            <w14:solidFill>
              <w14:schemeClr w14:val="tx1"/>
            </w14:solidFill>
          </w14:textFill>
        </w:rPr>
        <w:t>4包装</w:t>
      </w:r>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p>
    <w:p w14:paraId="7C161DCE">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4.1投标方所提供货物（或设备）的包装，应遵照国家标准和有关包装、包皮的技术条件，或按照最好的商业惯例进行包装。</w:t>
      </w:r>
    </w:p>
    <w:p w14:paraId="0279B2BA">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4.2包装应能满足所需要采取的运输方式（船运、汽运或铁路运输）、多次吊装卸装、卸货以及长期露天堆放要求，应能防止雨淋、受潮、生锈、腐蚀、受振、受磁以及机械和化学因素等引起的损坏。</w:t>
      </w:r>
    </w:p>
    <w:p w14:paraId="0BEE4E17">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4.3投标方所提供货物（或设备）的包装，应能防止其一般性被窃或受外力破坏；一般不得采用有大缝隙的板条包装。</w:t>
      </w:r>
    </w:p>
    <w:p w14:paraId="04D0A1D7">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4.4投标方应对包装件做必要的加固和固定等防护措施，以防止运输可能造成的损坏。</w:t>
      </w:r>
    </w:p>
    <w:p w14:paraId="1D18C6C3">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4.5每个包装件应有装箱单，并至少标明名称、型号规格、数量、净重和毛重、投标方（或供货商）名称和制造日期等相关内容。</w:t>
      </w:r>
    </w:p>
    <w:p w14:paraId="49718A0F">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4.6每个包装箱应有明显标志，并具有中文书写的合同号、装运标志、发货和到货地点名称、发货人和收货人名称、货物名称和项目号、箱号和外型尺寸等内容。</w:t>
      </w:r>
    </w:p>
    <w:p w14:paraId="5F309248">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4.7投标方还应按照不同的装运要求在包装箱上标明“小心轻放”、“箭头向上”、“防潮”、“防磁”、“不准平放”等标志，以及其它适用的国标通用标志。</w:t>
      </w:r>
    </w:p>
    <w:p w14:paraId="4DCF5770">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4.8包装箱应连续编号，不应出现重复编号。</w:t>
      </w:r>
    </w:p>
    <w:p w14:paraId="526E90DE">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4.9在不受到外界破坏情况下，包装应保证自交货日起一年内货物（或设备）完好无损。</w:t>
      </w:r>
    </w:p>
    <w:p w14:paraId="6EA72A99">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93" w:name="_Toc22792"/>
      <w:bookmarkStart w:id="594" w:name="_Toc7046"/>
      <w:bookmarkStart w:id="595" w:name="_Toc21886"/>
      <w:bookmarkStart w:id="596" w:name="_Toc17990"/>
      <w:bookmarkStart w:id="597" w:name="_Toc8"/>
      <w:bookmarkStart w:id="598" w:name="_Toc1857"/>
      <w:bookmarkStart w:id="599" w:name="_Toc31538"/>
      <w:bookmarkStart w:id="600" w:name="_Toc26302"/>
      <w:bookmarkStart w:id="601" w:name="_Toc7889"/>
      <w:bookmarkStart w:id="602" w:name="_Toc32266"/>
      <w:bookmarkStart w:id="603" w:name="_Toc25305"/>
      <w:bookmarkStart w:id="604" w:name="_Toc20536"/>
      <w:bookmarkStart w:id="605" w:name="_Toc23221"/>
      <w:bookmarkStart w:id="606" w:name="_Toc21308"/>
      <w:bookmarkStart w:id="607" w:name="_Toc17881"/>
      <w:bookmarkStart w:id="608" w:name="_Toc4346"/>
      <w:bookmarkStart w:id="609" w:name="_Toc22949"/>
      <w:bookmarkStart w:id="610" w:name="_Toc5373"/>
      <w:bookmarkStart w:id="611" w:name="_Toc22992"/>
      <w:bookmarkStart w:id="612" w:name="_Toc73112413"/>
      <w:r>
        <w:rPr>
          <w:rFonts w:hint="eastAsia" w:ascii="仿宋" w:hAnsi="仿宋" w:eastAsia="仿宋" w:cs="仿宋"/>
          <w:b/>
          <w:bCs/>
          <w:color w:val="000000" w:themeColor="text1"/>
          <w14:textFill>
            <w14:solidFill>
              <w14:schemeClr w14:val="tx1"/>
            </w14:solidFill>
          </w14:textFill>
        </w:rPr>
        <w:t>5运输</w:t>
      </w:r>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p>
    <w:p w14:paraId="40F8E9E4">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5.1投标方应负责将货物（或设备）运到目的地，并必须做到货物（或设备）在任何运输过程中不受损坏和遗失</w:t>
      </w:r>
    </w:p>
    <w:p w14:paraId="3E0350CA">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5.2同批货物（或设备）应统一包装、编号运输。</w:t>
      </w:r>
    </w:p>
    <w:p w14:paraId="2A355F65">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5.3一般情况下，经由铁路、公路运输的包装件尺寸和重量不应超过国家所规定的尺寸限制。特殊情况应予以说明。</w:t>
      </w:r>
    </w:p>
    <w:p w14:paraId="5BEC8AC7">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5.4在每批货物（或设备）发出后，投标方应立即通知招标方；通知中应指明：合同号、货运单号、件数、重量和货物（或设备）发出日期等相关内容。</w:t>
      </w:r>
    </w:p>
    <w:p w14:paraId="6CAC8A24">
      <w:pPr>
        <w:pStyle w:val="19"/>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5.5货物（或设备）运抵招标方现场后，投标方应负责货物（或设备）的卸货、搬运、保管等事宜；或按照合同约定。</w:t>
      </w:r>
      <w:bookmarkStart w:id="613" w:name="_Toc133783973"/>
    </w:p>
    <w:p w14:paraId="3DBBD4C6">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br w:type="page"/>
      </w:r>
    </w:p>
    <w:p w14:paraId="20BEA785">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614" w:name="_Toc11027"/>
      <w:bookmarkStart w:id="615" w:name="_Toc19133"/>
      <w:bookmarkStart w:id="616" w:name="_Toc14229"/>
      <w:bookmarkStart w:id="617" w:name="_Toc26671"/>
      <w:bookmarkStart w:id="618" w:name="_Toc7501"/>
      <w:bookmarkStart w:id="619" w:name="_Toc27169"/>
      <w:bookmarkStart w:id="620" w:name="_Toc14023"/>
      <w:bookmarkStart w:id="621" w:name="_Toc19986"/>
      <w:bookmarkStart w:id="622" w:name="_Toc24397"/>
      <w:bookmarkStart w:id="623" w:name="_Toc13927"/>
      <w:bookmarkStart w:id="624" w:name="_Toc29063"/>
      <w:bookmarkStart w:id="625" w:name="_Toc28164"/>
      <w:bookmarkStart w:id="626" w:name="_Toc14171"/>
      <w:bookmarkStart w:id="627" w:name="_Toc3739"/>
      <w:bookmarkStart w:id="628" w:name="_Toc14916"/>
      <w:bookmarkStart w:id="629" w:name="_Toc10894"/>
      <w:bookmarkStart w:id="630" w:name="_Toc24415"/>
      <w:bookmarkStart w:id="631" w:name="_Toc14862"/>
      <w:bookmarkStart w:id="632" w:name="_Toc25292"/>
      <w:bookmarkStart w:id="633" w:name="_Toc27085"/>
      <w:bookmarkStart w:id="634" w:name="_Toc10275"/>
      <w:bookmarkStart w:id="635" w:name="_Toc15153"/>
      <w:bookmarkStart w:id="636" w:name="_Toc7672"/>
      <w:bookmarkStart w:id="637" w:name="_Toc16036"/>
      <w:bookmarkStart w:id="638" w:name="_Toc12021"/>
      <w:bookmarkStart w:id="639" w:name="_Toc23255"/>
      <w:bookmarkStart w:id="640" w:name="_Toc73112414"/>
      <w:bookmarkStart w:id="641" w:name="_Toc10676"/>
      <w:bookmarkStart w:id="642" w:name="_Toc14414"/>
      <w:bookmarkStart w:id="643" w:name="_Toc12994"/>
      <w:bookmarkStart w:id="644" w:name="_Toc25044"/>
      <w:bookmarkStart w:id="645" w:name="_Toc18423"/>
      <w:bookmarkStart w:id="646" w:name="_Toc28211"/>
      <w:bookmarkStart w:id="647" w:name="_Toc8515"/>
      <w:bookmarkStart w:id="648" w:name="_Toc25780"/>
      <w:bookmarkStart w:id="649" w:name="_Toc22680"/>
      <w:bookmarkStart w:id="650" w:name="_Toc1740"/>
      <w:bookmarkStart w:id="651" w:name="_Toc2250"/>
      <w:bookmarkStart w:id="652" w:name="_Toc24978"/>
      <w:bookmarkStart w:id="653" w:name="_Toc12478"/>
      <w:bookmarkStart w:id="654" w:name="_Toc31301"/>
      <w:bookmarkStart w:id="655" w:name="_Toc9059"/>
      <w:bookmarkStart w:id="656" w:name="_Toc26651"/>
      <w:bookmarkStart w:id="657" w:name="_Toc2668"/>
      <w:bookmarkStart w:id="658" w:name="_Toc20251"/>
      <w:bookmarkStart w:id="659" w:name="_Toc32280"/>
      <w:r>
        <w:rPr>
          <w:rFonts w:hint="eastAsia" w:ascii="仿宋" w:hAnsi="仿宋" w:eastAsia="仿宋" w:cs="仿宋"/>
          <w:b/>
          <w:bCs/>
          <w:color w:val="000000" w:themeColor="text1"/>
          <w14:textFill>
            <w14:solidFill>
              <w14:schemeClr w14:val="tx1"/>
            </w14:solidFill>
          </w14:textFill>
        </w:rPr>
        <w:t>第四章售中售后服务</w:t>
      </w:r>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p>
    <w:p w14:paraId="06E3FC4C">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660" w:name="_Toc4682"/>
      <w:bookmarkStart w:id="661" w:name="_Toc23541"/>
      <w:bookmarkStart w:id="662" w:name="_Toc20514"/>
      <w:bookmarkStart w:id="663" w:name="_Toc7036"/>
      <w:bookmarkStart w:id="664" w:name="_Toc24654"/>
      <w:bookmarkStart w:id="665" w:name="_Toc9079"/>
      <w:bookmarkStart w:id="666" w:name="_Toc344"/>
      <w:bookmarkStart w:id="667" w:name="_Toc4180"/>
      <w:bookmarkStart w:id="668" w:name="_Toc24344"/>
      <w:bookmarkStart w:id="669" w:name="_Toc9919"/>
      <w:bookmarkStart w:id="670" w:name="_Toc27811"/>
      <w:bookmarkStart w:id="671" w:name="_Toc28487"/>
      <w:bookmarkStart w:id="672" w:name="_Toc2564"/>
      <w:bookmarkStart w:id="673" w:name="_Toc414"/>
      <w:bookmarkStart w:id="674" w:name="_Toc18522"/>
      <w:bookmarkStart w:id="675" w:name="_Toc13786"/>
      <w:bookmarkStart w:id="676" w:name="_Toc23892"/>
      <w:bookmarkStart w:id="677" w:name="_Toc3722"/>
      <w:bookmarkStart w:id="678" w:name="_Toc788"/>
      <w:bookmarkStart w:id="679" w:name="_Toc3697"/>
      <w:bookmarkStart w:id="680" w:name="_Toc14968"/>
      <w:bookmarkStart w:id="681" w:name="_Toc25505"/>
      <w:bookmarkStart w:id="682" w:name="_Toc19576"/>
      <w:bookmarkStart w:id="683" w:name="_Toc16066"/>
      <w:bookmarkStart w:id="684" w:name="_Toc17645"/>
      <w:bookmarkStart w:id="685" w:name="_Toc17832"/>
      <w:bookmarkStart w:id="686" w:name="_Toc8910"/>
      <w:bookmarkStart w:id="687" w:name="_Toc2661"/>
      <w:bookmarkStart w:id="688" w:name="_Toc8465"/>
      <w:bookmarkStart w:id="689" w:name="_Toc73112415"/>
      <w:bookmarkStart w:id="690" w:name="_Toc217"/>
      <w:bookmarkStart w:id="691" w:name="_Toc30399"/>
      <w:bookmarkStart w:id="692" w:name="_Toc10787"/>
      <w:bookmarkStart w:id="693" w:name="_Toc10542"/>
      <w:bookmarkStart w:id="694" w:name="_Toc19735"/>
      <w:bookmarkStart w:id="695" w:name="_Toc12793"/>
      <w:bookmarkStart w:id="696" w:name="_Toc14199"/>
      <w:bookmarkStart w:id="697" w:name="_Toc13551"/>
      <w:bookmarkStart w:id="698" w:name="_Toc29321"/>
      <w:bookmarkStart w:id="699" w:name="_Toc29262"/>
      <w:bookmarkStart w:id="700" w:name="_Toc23493"/>
      <w:bookmarkStart w:id="701" w:name="_Toc4952"/>
      <w:bookmarkStart w:id="702" w:name="_Toc10791"/>
      <w:bookmarkStart w:id="703" w:name="_Toc20772"/>
      <w:bookmarkStart w:id="704" w:name="_Toc7723"/>
      <w:r>
        <w:rPr>
          <w:rFonts w:hint="eastAsia" w:ascii="仿宋" w:hAnsi="仿宋" w:eastAsia="仿宋" w:cs="仿宋"/>
          <w:b/>
          <w:bCs/>
          <w:color w:val="000000" w:themeColor="text1"/>
          <w14:textFill>
            <w14:solidFill>
              <w14:schemeClr w14:val="tx1"/>
            </w14:solidFill>
          </w14:textFill>
        </w:rPr>
        <w:t>1技术及培训服务</w:t>
      </w:r>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p>
    <w:p w14:paraId="643A9239">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1.1投标方应负责对招标方</w:t>
      </w:r>
      <w:r>
        <w:rPr>
          <w:rFonts w:hint="eastAsia" w:ascii="仿宋" w:hAnsi="仿宋" w:eastAsia="仿宋" w:cs="仿宋"/>
          <w:color w:val="000000" w:themeColor="text1"/>
          <w:u w:val="single"/>
          <w:shd w:val="pct10" w:color="auto" w:fill="FFFFFF"/>
          <w14:textFill>
            <w14:solidFill>
              <w14:schemeClr w14:val="tx1"/>
            </w14:solidFill>
          </w14:textFill>
        </w:rPr>
        <w:t xml:space="preserve"> 3-5</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名工程技术人员、维修人员和操作人员提供不少于</w:t>
      </w:r>
      <w:r>
        <w:rPr>
          <w:rFonts w:hint="eastAsia" w:ascii="仿宋" w:hAnsi="仿宋" w:eastAsia="仿宋" w:cs="仿宋"/>
          <w:color w:val="000000" w:themeColor="text1"/>
          <w:u w:val="single"/>
          <w:shd w:val="pct10" w:color="auto" w:fill="FFFFFF"/>
          <w14:textFill>
            <w14:solidFill>
              <w14:schemeClr w14:val="tx1"/>
            </w14:solidFill>
          </w14:textFill>
        </w:rPr>
        <w:t xml:space="preserve"> 7</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个日历日的免费的、生产制造现场的理论、技术和操作、维修、安全等方面的指导和培训，并为招标方受培训人员提供免费的培训地交通、食宿条件。</w:t>
      </w:r>
    </w:p>
    <w:p w14:paraId="2BD93F6B">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1.2投标方应负责在招标方货物使用现场，进行</w:t>
      </w:r>
      <w:r>
        <w:rPr>
          <w:rFonts w:hint="eastAsia" w:ascii="仿宋" w:hAnsi="仿宋" w:eastAsia="仿宋" w:cs="仿宋"/>
          <w:color w:val="000000" w:themeColor="text1"/>
          <w:shd w:val="pct10" w:color="auto" w:fill="FFFFFF"/>
          <w14:textFill>
            <w14:solidFill>
              <w14:schemeClr w14:val="tx1"/>
            </w14:solidFill>
          </w14:textFill>
        </w:rPr>
        <w:t>2～3</w:t>
      </w:r>
      <w:r>
        <w:rPr>
          <w:rFonts w:hint="eastAsia" w:ascii="仿宋" w:hAnsi="仿宋" w:eastAsia="仿宋" w:cs="仿宋"/>
          <w:color w:val="000000" w:themeColor="text1"/>
          <w14:textFill>
            <w14:solidFill>
              <w14:schemeClr w14:val="tx1"/>
            </w14:solidFill>
          </w14:textFill>
        </w:rPr>
        <w:t>次免费的技术指导和培训，并接受招标方有关人员的技术咨询。</w:t>
      </w:r>
    </w:p>
    <w:p w14:paraId="152A1A59">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1.3投标方应免费提供全套培训资料。所有设备均需要配备产品说明书，包括设备的内部结构、组成及保养、维护、调试等相关内容，便于生产人员及维修人员查阅。</w:t>
      </w:r>
    </w:p>
    <w:p w14:paraId="35C38C6F">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1.4投标方应按要求，免费积极协助和提供招标方以及招标方所委托的工程设计单位有关人员所需要的、与货物有关的工程设计资料、技术咨询等。</w:t>
      </w:r>
    </w:p>
    <w:p w14:paraId="134FEEF6">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1.5若投标方提供的货物涉及到外购外协货物、而且该货物的技术质量等较为关键时，凡招标方提出需求的，投标方应能得到配套厂家的技术支持，并免费为招标方提供技术服务及培训。</w:t>
      </w:r>
    </w:p>
    <w:p w14:paraId="70166DA2">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1.6投标方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14:paraId="447D8792">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705" w:name="_Toc11516"/>
      <w:bookmarkStart w:id="706" w:name="_Toc25347"/>
      <w:bookmarkStart w:id="707" w:name="_Toc17849"/>
      <w:bookmarkStart w:id="708" w:name="_Toc22880"/>
      <w:bookmarkStart w:id="709" w:name="_Toc22693"/>
      <w:bookmarkStart w:id="710" w:name="_Toc17865"/>
      <w:bookmarkStart w:id="711" w:name="_Toc25721"/>
      <w:bookmarkStart w:id="712" w:name="_Toc16207"/>
      <w:bookmarkStart w:id="713" w:name="_Toc14504"/>
      <w:bookmarkStart w:id="714" w:name="_Toc3907"/>
      <w:bookmarkStart w:id="715" w:name="_Toc1420"/>
      <w:bookmarkStart w:id="716" w:name="_Toc1176"/>
      <w:bookmarkStart w:id="717" w:name="_Toc3042"/>
      <w:bookmarkStart w:id="718" w:name="_Toc31039"/>
      <w:bookmarkStart w:id="719" w:name="_Toc3976"/>
      <w:bookmarkStart w:id="720" w:name="_Toc26880"/>
      <w:bookmarkStart w:id="721" w:name="_Toc16259"/>
      <w:bookmarkStart w:id="722" w:name="_Toc21693"/>
      <w:bookmarkStart w:id="723" w:name="_Toc26197"/>
      <w:bookmarkStart w:id="724" w:name="_Toc1525"/>
      <w:bookmarkStart w:id="725" w:name="_Toc32690"/>
      <w:bookmarkStart w:id="726" w:name="_Toc30271"/>
      <w:bookmarkStart w:id="727" w:name="_Toc11060"/>
      <w:bookmarkStart w:id="728" w:name="_Toc15028"/>
      <w:bookmarkStart w:id="729" w:name="_Toc22719"/>
      <w:bookmarkStart w:id="730" w:name="_Toc19866"/>
      <w:bookmarkStart w:id="731" w:name="_Toc5703"/>
      <w:bookmarkStart w:id="732" w:name="_Toc16867"/>
      <w:bookmarkStart w:id="733" w:name="_Toc26430"/>
      <w:bookmarkStart w:id="734" w:name="_Toc3892"/>
      <w:bookmarkStart w:id="735" w:name="_Toc10782"/>
      <w:bookmarkStart w:id="736" w:name="_Toc29981"/>
      <w:bookmarkStart w:id="737" w:name="_Toc25595"/>
      <w:bookmarkStart w:id="738" w:name="_Toc16493"/>
      <w:bookmarkStart w:id="739" w:name="_Toc73112416"/>
      <w:bookmarkStart w:id="740" w:name="_Toc17516"/>
      <w:bookmarkStart w:id="741" w:name="_Toc9824"/>
      <w:bookmarkStart w:id="742" w:name="_Toc29413"/>
      <w:bookmarkStart w:id="743" w:name="_Toc6394"/>
      <w:bookmarkStart w:id="744" w:name="_Toc13970"/>
      <w:bookmarkStart w:id="745" w:name="_Toc15460"/>
      <w:bookmarkStart w:id="746" w:name="_Toc19800"/>
      <w:bookmarkStart w:id="747" w:name="_Toc13235"/>
      <w:bookmarkStart w:id="748" w:name="_Toc13864"/>
      <w:r>
        <w:rPr>
          <w:rFonts w:hint="eastAsia" w:ascii="仿宋" w:hAnsi="仿宋" w:eastAsia="仿宋" w:cs="仿宋"/>
          <w:b/>
          <w:bCs/>
          <w:color w:val="000000" w:themeColor="text1"/>
          <w14:textFill>
            <w14:solidFill>
              <w14:schemeClr w14:val="tx1"/>
            </w14:solidFill>
          </w14:textFill>
        </w:rPr>
        <w:t>2安装调试服务</w:t>
      </w:r>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0E45022E">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2.1根据货物的要求，调试可分空载和负载两个阶段进行；招标方将予以积极配合，协助投标方达到货物的各项技术指标和性能要求。</w:t>
      </w:r>
    </w:p>
    <w:p w14:paraId="18E59846">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安装调试与验收期间，若投标方提供的货物涉及到外购外协货物、而且该货物的技术质量等较为关键时，凡招标方提出需求的，投标方应能得到配套厂家的技术支持，并免费为招标方提供安装使用现场的指导与协调。</w:t>
      </w:r>
    </w:p>
    <w:p w14:paraId="770BD7E7">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2.3投标方提供收费的或免费的、指导安装调试或负责安装调试，至少应在投标文件的报价章节中，予以明确说明。</w:t>
      </w:r>
    </w:p>
    <w:p w14:paraId="47E5BFB1">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749" w:name="_Toc25079"/>
      <w:bookmarkStart w:id="750" w:name="_Toc16916"/>
      <w:bookmarkStart w:id="751" w:name="_Toc73112417"/>
      <w:bookmarkStart w:id="752" w:name="_Toc2097"/>
      <w:bookmarkStart w:id="753" w:name="_Toc3170"/>
      <w:bookmarkStart w:id="754" w:name="_Toc29126"/>
      <w:bookmarkStart w:id="755" w:name="_Toc11229"/>
      <w:bookmarkStart w:id="756" w:name="_Toc17427"/>
      <w:bookmarkStart w:id="757" w:name="_Toc16706"/>
      <w:bookmarkStart w:id="758" w:name="_Toc29245"/>
      <w:bookmarkStart w:id="759" w:name="_Toc8975"/>
      <w:bookmarkStart w:id="760" w:name="_Toc16435"/>
      <w:bookmarkStart w:id="761" w:name="_Toc17284"/>
      <w:bookmarkStart w:id="762" w:name="_Toc22871"/>
      <w:bookmarkStart w:id="763" w:name="_Toc1585"/>
      <w:bookmarkStart w:id="764" w:name="_Toc32442"/>
      <w:bookmarkStart w:id="765" w:name="_Toc4076"/>
      <w:bookmarkStart w:id="766" w:name="_Toc9269"/>
      <w:bookmarkStart w:id="767" w:name="_Toc29125"/>
      <w:bookmarkStart w:id="768" w:name="_Toc10635"/>
      <w:bookmarkStart w:id="769" w:name="_Toc2772"/>
      <w:bookmarkStart w:id="770" w:name="_Toc24615"/>
      <w:bookmarkStart w:id="771" w:name="_Toc19810"/>
      <w:bookmarkStart w:id="772" w:name="_Toc16373"/>
      <w:bookmarkStart w:id="773" w:name="_Toc4751"/>
      <w:bookmarkStart w:id="774" w:name="_Toc2657"/>
      <w:bookmarkStart w:id="775" w:name="_Toc478"/>
      <w:bookmarkStart w:id="776" w:name="_Toc2510"/>
      <w:bookmarkStart w:id="777" w:name="_Toc30193"/>
      <w:bookmarkStart w:id="778" w:name="_Toc27515"/>
      <w:bookmarkStart w:id="779" w:name="_Toc16337"/>
      <w:bookmarkStart w:id="780" w:name="_Toc1565"/>
      <w:bookmarkStart w:id="781" w:name="_Toc12739"/>
      <w:bookmarkStart w:id="782" w:name="_Toc18269"/>
      <w:bookmarkStart w:id="783" w:name="_Toc30398"/>
      <w:bookmarkStart w:id="784" w:name="_Toc7783"/>
      <w:bookmarkStart w:id="785" w:name="_Toc13443"/>
      <w:bookmarkStart w:id="786" w:name="_Toc9878"/>
      <w:bookmarkStart w:id="787" w:name="_Toc19674"/>
      <w:bookmarkStart w:id="788" w:name="_Toc7956"/>
      <w:bookmarkStart w:id="789" w:name="_Toc13921"/>
      <w:bookmarkStart w:id="790" w:name="_Toc32488"/>
      <w:bookmarkStart w:id="791" w:name="_Toc218"/>
      <w:bookmarkStart w:id="792" w:name="_Toc9329"/>
      <w:bookmarkStart w:id="793" w:name="_Toc628"/>
      <w:r>
        <w:rPr>
          <w:rFonts w:hint="eastAsia" w:ascii="仿宋" w:hAnsi="仿宋" w:eastAsia="仿宋" w:cs="仿宋"/>
          <w:b/>
          <w:bCs/>
          <w:color w:val="000000" w:themeColor="text1"/>
          <w14:textFill>
            <w14:solidFill>
              <w14:schemeClr w14:val="tx1"/>
            </w14:solidFill>
          </w14:textFill>
        </w:rPr>
        <w:t>3验收服务</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p>
    <w:p w14:paraId="4D84277F">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794" w:name="_Toc11213"/>
      <w:bookmarkStart w:id="795" w:name="_Toc8078"/>
      <w:bookmarkStart w:id="796" w:name="_Toc19441"/>
      <w:bookmarkStart w:id="797" w:name="_Toc2093"/>
      <w:bookmarkStart w:id="798" w:name="_Toc28635"/>
      <w:bookmarkStart w:id="799" w:name="_Toc26554"/>
      <w:bookmarkStart w:id="800" w:name="_Toc6232"/>
      <w:bookmarkStart w:id="801" w:name="_Toc3798"/>
      <w:bookmarkStart w:id="802" w:name="_Toc19397"/>
      <w:bookmarkStart w:id="803" w:name="_Toc17056"/>
      <w:bookmarkStart w:id="804" w:name="_Toc22392"/>
      <w:bookmarkStart w:id="805" w:name="_Toc29778"/>
      <w:bookmarkStart w:id="806" w:name="_Toc73112418"/>
      <w:bookmarkStart w:id="807" w:name="_Toc21987"/>
      <w:bookmarkStart w:id="808" w:name="_Toc4417"/>
      <w:bookmarkStart w:id="809" w:name="_Toc14739"/>
      <w:bookmarkStart w:id="810" w:name="_Toc1311"/>
      <w:bookmarkStart w:id="811" w:name="_Toc29300"/>
      <w:bookmarkStart w:id="812" w:name="_Toc7478"/>
      <w:bookmarkStart w:id="813" w:name="_Toc17895"/>
      <w:bookmarkStart w:id="814" w:name="_Toc32682"/>
      <w:bookmarkStart w:id="815" w:name="_Toc27224"/>
      <w:bookmarkStart w:id="816" w:name="_Toc6099"/>
      <w:bookmarkStart w:id="817" w:name="_Toc10014"/>
      <w:bookmarkStart w:id="818" w:name="_Toc11699"/>
      <w:bookmarkStart w:id="819" w:name="_Toc26773"/>
      <w:bookmarkStart w:id="820" w:name="_Toc30412"/>
      <w:bookmarkStart w:id="821" w:name="_Toc7782"/>
      <w:bookmarkStart w:id="822" w:name="_Toc18836"/>
      <w:bookmarkStart w:id="823" w:name="_Toc1199"/>
      <w:bookmarkStart w:id="824" w:name="_Toc22965"/>
      <w:bookmarkStart w:id="825" w:name="_Toc20081"/>
      <w:bookmarkStart w:id="826" w:name="_Toc20717"/>
      <w:bookmarkStart w:id="827" w:name="_Toc20916"/>
      <w:bookmarkStart w:id="828" w:name="_Toc1454"/>
      <w:bookmarkStart w:id="829" w:name="_Toc29633"/>
      <w:bookmarkStart w:id="830" w:name="_Toc18968"/>
      <w:bookmarkStart w:id="831" w:name="_Toc20426"/>
      <w:bookmarkStart w:id="832" w:name="_Toc9592"/>
      <w:bookmarkStart w:id="833" w:name="_Toc32079"/>
      <w:bookmarkStart w:id="834" w:name="_Toc542"/>
      <w:bookmarkStart w:id="835" w:name="_Toc10808"/>
      <w:r>
        <w:rPr>
          <w:rFonts w:hint="eastAsia" w:ascii="仿宋" w:hAnsi="仿宋" w:eastAsia="仿宋" w:cs="仿宋"/>
          <w:color w:val="000000" w:themeColor="text1"/>
          <w14:textFill>
            <w14:solidFill>
              <w14:schemeClr w14:val="tx1"/>
            </w14:solidFill>
          </w14:textFill>
        </w:rPr>
        <w:t>3.1投标方在招标方现场进行的货物的预验收和终验收配合或指导，应当是免费的。</w:t>
      </w:r>
    </w:p>
    <w:p w14:paraId="2B8EAA83">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 货物验收时，若投标方提供的货物涉及到外购外协货物、而且该货物的技术质量等较为关键时，投标方应能得到配套厂家的技术支持，并免费为招标方提供使用现场验收的配合或指导。</w:t>
      </w:r>
    </w:p>
    <w:p w14:paraId="055E7C9A">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3.3在投标方所提供货物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54267F37">
      <w:pPr>
        <w:snapToGrid w:val="0"/>
        <w:spacing w:line="360" w:lineRule="auto"/>
        <w:ind w:left="480"/>
        <w:outlineLvl w:val="1"/>
        <w:rPr>
          <w:rFonts w:hint="eastAsia" w:ascii="仿宋" w:hAnsi="仿宋" w:eastAsia="仿宋" w:cs="仿宋"/>
          <w:b/>
          <w:bCs/>
          <w:color w:val="000000" w:themeColor="text1"/>
          <w14:textFill>
            <w14:solidFill>
              <w14:schemeClr w14:val="tx1"/>
            </w14:solidFill>
          </w14:textFill>
        </w:rPr>
      </w:pPr>
      <w:bookmarkStart w:id="836" w:name="_Toc988"/>
      <w:bookmarkStart w:id="837" w:name="_Toc26183"/>
      <w:r>
        <w:rPr>
          <w:rFonts w:hint="eastAsia" w:ascii="仿宋" w:hAnsi="仿宋" w:eastAsia="仿宋" w:cs="仿宋"/>
          <w:b/>
          <w:bCs/>
          <w:color w:val="000000" w:themeColor="text1"/>
          <w14:textFill>
            <w14:solidFill>
              <w14:schemeClr w14:val="tx1"/>
            </w14:solidFill>
          </w14:textFill>
        </w:rPr>
        <w:t>4售后服务</w:t>
      </w:r>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p>
    <w:p w14:paraId="2242B6B6">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4.1所有的售后服务均由投标方受理。如果发生问题并且收到报告，投标方应当在2小时内予以答复。</w:t>
      </w:r>
    </w:p>
    <w:p w14:paraId="0F74F697">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4.2如发现所提供的货物存在问题，需要投标方解决或配合解决时：在质保期之内，应在接到通知后</w:t>
      </w:r>
      <w:r>
        <w:rPr>
          <w:rFonts w:hint="eastAsia" w:ascii="仿宋" w:hAnsi="仿宋" w:eastAsia="仿宋" w:cs="仿宋"/>
          <w:color w:val="000000" w:themeColor="text1"/>
          <w:u w:val="single"/>
          <w:shd w:val="pct10" w:color="auto" w:fill="FFFFFF"/>
          <w14:textFill>
            <w14:solidFill>
              <w14:schemeClr w14:val="tx1"/>
            </w14:solidFill>
          </w14:textFill>
        </w:rPr>
        <w:t>24</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小时内派有关人员到达现场；在质保期之外，应在接到通知后</w:t>
      </w:r>
      <w:r>
        <w:rPr>
          <w:rFonts w:hint="eastAsia" w:ascii="仿宋" w:hAnsi="仿宋" w:eastAsia="仿宋" w:cs="仿宋"/>
          <w:color w:val="000000" w:themeColor="text1"/>
          <w:u w:val="single"/>
          <w:shd w:val="pct10" w:color="auto" w:fill="FFFFFF"/>
          <w14:textFill>
            <w14:solidFill>
              <w14:schemeClr w14:val="tx1"/>
            </w14:solidFill>
          </w14:textFill>
        </w:rPr>
        <w:t>24</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小时内派有关人员到达现场。</w:t>
      </w:r>
    </w:p>
    <w:p w14:paraId="04E413A1">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4.3投标方派往招标方使用现场的人员，应具有较高的业务素质；现场解决问题时，不得无故拖延或推迟，应为招标方提供最佳的服务。</w:t>
      </w:r>
    </w:p>
    <w:p w14:paraId="5047D072">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838" w:name="_Toc7130"/>
      <w:bookmarkStart w:id="839" w:name="_Toc913"/>
      <w:bookmarkStart w:id="840" w:name="_Toc25693"/>
      <w:bookmarkStart w:id="841" w:name="_Toc32366"/>
      <w:bookmarkStart w:id="842" w:name="_Toc28927"/>
      <w:bookmarkStart w:id="843" w:name="_Toc27285"/>
      <w:bookmarkStart w:id="844" w:name="_Toc22262"/>
      <w:bookmarkStart w:id="845" w:name="_Toc4793"/>
      <w:bookmarkStart w:id="846" w:name="_Toc12294"/>
      <w:bookmarkStart w:id="847" w:name="_Toc20936"/>
      <w:bookmarkStart w:id="848" w:name="_Toc30999"/>
      <w:bookmarkStart w:id="849" w:name="_Toc30887"/>
      <w:bookmarkStart w:id="850" w:name="_Toc6107"/>
      <w:bookmarkStart w:id="851" w:name="_Toc6984"/>
      <w:bookmarkStart w:id="852" w:name="_Toc21895"/>
      <w:bookmarkStart w:id="853" w:name="_Toc6730"/>
      <w:bookmarkStart w:id="854" w:name="_Toc6354"/>
      <w:bookmarkStart w:id="855" w:name="_Toc25994"/>
      <w:bookmarkStart w:id="856" w:name="_Toc9982"/>
      <w:bookmarkStart w:id="857" w:name="_Toc17891"/>
      <w:bookmarkStart w:id="858" w:name="_Toc27733"/>
      <w:bookmarkStart w:id="859" w:name="_Toc1118"/>
      <w:bookmarkStart w:id="860" w:name="_Toc73112419"/>
      <w:bookmarkStart w:id="861" w:name="_Toc9688"/>
      <w:bookmarkStart w:id="862" w:name="_Toc18148"/>
      <w:bookmarkStart w:id="863" w:name="_Toc26287"/>
      <w:bookmarkStart w:id="864" w:name="_Toc26976"/>
      <w:bookmarkStart w:id="865" w:name="_Toc32502"/>
      <w:bookmarkStart w:id="866" w:name="_Toc31498"/>
      <w:bookmarkStart w:id="867" w:name="_Toc22732"/>
      <w:bookmarkStart w:id="868" w:name="_Toc16849"/>
      <w:bookmarkStart w:id="869" w:name="_Toc10752"/>
      <w:bookmarkStart w:id="870" w:name="_Toc27505"/>
      <w:bookmarkStart w:id="871" w:name="_Toc19301"/>
      <w:bookmarkStart w:id="872" w:name="_Toc26623"/>
      <w:bookmarkStart w:id="873" w:name="_Toc22593"/>
      <w:bookmarkStart w:id="874" w:name="_Toc3819"/>
      <w:bookmarkStart w:id="875" w:name="_Toc3912"/>
      <w:bookmarkStart w:id="876" w:name="_Toc25242"/>
      <w:bookmarkStart w:id="877" w:name="_Toc115"/>
      <w:bookmarkStart w:id="878" w:name="_Toc13974"/>
      <w:bookmarkStart w:id="879" w:name="_Toc1438"/>
      <w:bookmarkStart w:id="880" w:name="_Toc1573"/>
      <w:bookmarkStart w:id="881" w:name="_Toc14349"/>
      <w:bookmarkStart w:id="882" w:name="_Toc20327"/>
      <w:r>
        <w:rPr>
          <w:rFonts w:hint="eastAsia" w:ascii="仿宋" w:hAnsi="仿宋" w:eastAsia="仿宋" w:cs="仿宋"/>
          <w:b/>
          <w:bCs/>
          <w:color w:val="000000" w:themeColor="text1"/>
          <w14:textFill>
            <w14:solidFill>
              <w14:schemeClr w14:val="tx1"/>
            </w14:solidFill>
          </w14:textFill>
        </w:rPr>
        <w:t>5其它服务</w:t>
      </w:r>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p>
    <w:p w14:paraId="2D306EEF">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883" w:name="_Toc9482"/>
      <w:bookmarkStart w:id="884" w:name="_Toc9498"/>
      <w:bookmarkStart w:id="885" w:name="_Toc133783974"/>
      <w:bookmarkStart w:id="886" w:name="_Toc27484"/>
      <w:bookmarkStart w:id="887" w:name="_Toc21122"/>
      <w:bookmarkStart w:id="888" w:name="_Toc6228"/>
      <w:bookmarkStart w:id="889" w:name="_Toc19942"/>
      <w:bookmarkStart w:id="890" w:name="_Toc16355"/>
      <w:bookmarkStart w:id="891" w:name="_Toc5013"/>
      <w:bookmarkStart w:id="892" w:name="_Toc13250"/>
      <w:bookmarkStart w:id="893" w:name="_Toc30293"/>
      <w:bookmarkStart w:id="894" w:name="_Toc29269"/>
      <w:bookmarkStart w:id="895" w:name="_Toc8547"/>
      <w:bookmarkStart w:id="896" w:name="_Toc19017"/>
      <w:bookmarkStart w:id="897" w:name="_Toc32409"/>
      <w:bookmarkStart w:id="898" w:name="_Toc25825"/>
      <w:bookmarkStart w:id="899" w:name="_Toc25057"/>
      <w:bookmarkStart w:id="900" w:name="_Toc10873"/>
      <w:bookmarkStart w:id="901" w:name="_Toc16312"/>
      <w:bookmarkStart w:id="902" w:name="_Toc15356"/>
      <w:bookmarkStart w:id="903" w:name="_Toc10492"/>
      <w:bookmarkStart w:id="904" w:name="_Toc14411"/>
      <w:bookmarkStart w:id="905" w:name="_Toc4011"/>
      <w:bookmarkStart w:id="906" w:name="_Toc13895"/>
      <w:bookmarkStart w:id="907" w:name="_Toc22725"/>
      <w:bookmarkStart w:id="908" w:name="_Toc32483"/>
      <w:bookmarkStart w:id="909" w:name="_Toc2800"/>
      <w:bookmarkStart w:id="910" w:name="_Toc19208"/>
      <w:bookmarkStart w:id="911" w:name="_Toc73112420"/>
      <w:bookmarkStart w:id="912" w:name="_Toc7461"/>
      <w:bookmarkStart w:id="913" w:name="_Toc11150"/>
      <w:bookmarkStart w:id="914" w:name="_Toc29777"/>
      <w:bookmarkStart w:id="915" w:name="_Toc18030"/>
      <w:bookmarkStart w:id="916" w:name="_Toc5996"/>
      <w:bookmarkStart w:id="917" w:name="_Toc2140"/>
      <w:bookmarkStart w:id="918" w:name="_Toc24752"/>
      <w:bookmarkStart w:id="919" w:name="_Toc10438"/>
      <w:bookmarkStart w:id="920" w:name="_Toc23730"/>
      <w:bookmarkStart w:id="921" w:name="_Toc12454"/>
      <w:bookmarkStart w:id="922" w:name="_Toc12013"/>
      <w:bookmarkStart w:id="923" w:name="_Toc8076"/>
      <w:bookmarkStart w:id="924" w:name="_Toc26489"/>
      <w:bookmarkStart w:id="925" w:name="_Toc9121"/>
      <w:bookmarkStart w:id="926" w:name="_Toc18621"/>
      <w:r>
        <w:rPr>
          <w:rFonts w:hint="eastAsia" w:ascii="仿宋" w:hAnsi="仿宋" w:eastAsia="仿宋" w:cs="仿宋"/>
          <w:color w:val="000000" w:themeColor="text1"/>
          <w14:textFill>
            <w14:solidFill>
              <w14:schemeClr w14:val="tx1"/>
            </w14:solidFill>
          </w14:textFill>
        </w:rPr>
        <w:t>5.1若投标方所提供货物有需要进口的，投标方一般应自行、自费办理；必要时，招标方和投标方共同办理。</w:t>
      </w:r>
    </w:p>
    <w:p w14:paraId="4E88DA45">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5.2除招标文件、投标文件、答疑文件、技术协议、合同等约定之外，投标方应免费负责必要的或强制性的货物的检验、试验、化验等直接费用。</w:t>
      </w:r>
    </w:p>
    <w:p w14:paraId="6D28AB33">
      <w:pPr>
        <w:adjustRightInd w:val="0"/>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5.3本章节条款所列“免费”，并非指定不可收费，而是指招标文件、投标文件、答疑文件、技术交流文件、技术协议书和合同等范围之外，投标方不可另行收取的费用。</w:t>
      </w:r>
    </w:p>
    <w:p w14:paraId="3A77CA1D">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br w:type="page"/>
      </w:r>
    </w:p>
    <w:p w14:paraId="069AFA64">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927" w:name="_Toc22807"/>
      <w:bookmarkStart w:id="928" w:name="_Toc30753"/>
      <w:r>
        <w:rPr>
          <w:rFonts w:hint="eastAsia" w:ascii="仿宋" w:hAnsi="仿宋" w:eastAsia="仿宋" w:cs="仿宋"/>
          <w:b/>
          <w:bCs/>
          <w:color w:val="000000" w:themeColor="text1"/>
          <w14:textFill>
            <w14:solidFill>
              <w14:schemeClr w14:val="tx1"/>
            </w14:solidFill>
          </w14:textFill>
        </w:rPr>
        <w:t>第五章预验收和终验收</w:t>
      </w:r>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p>
    <w:p w14:paraId="3D8BEBB9">
      <w:pPr>
        <w:snapToGrid w:val="0"/>
        <w:spacing w:line="360" w:lineRule="auto"/>
        <w:ind w:left="482"/>
        <w:outlineLvl w:val="1"/>
        <w:rPr>
          <w:rFonts w:ascii="仿宋" w:hAnsi="仿宋" w:eastAsia="仿宋" w:cs="仿宋"/>
          <w:b/>
          <w:bCs/>
          <w:color w:val="000000" w:themeColor="text1"/>
          <w14:textFill>
            <w14:solidFill>
              <w14:schemeClr w14:val="tx1"/>
            </w14:solidFill>
          </w14:textFill>
        </w:rPr>
      </w:pPr>
      <w:bookmarkStart w:id="929" w:name="_Toc1286"/>
      <w:bookmarkStart w:id="930" w:name="_Toc22140"/>
      <w:bookmarkStart w:id="931" w:name="_Toc2326"/>
      <w:bookmarkStart w:id="932" w:name="_Toc6924"/>
      <w:bookmarkStart w:id="933" w:name="_Toc21206"/>
      <w:bookmarkStart w:id="934" w:name="_Toc27951"/>
      <w:bookmarkStart w:id="935" w:name="_Toc4070"/>
      <w:bookmarkStart w:id="936" w:name="_Toc5401"/>
      <w:bookmarkStart w:id="937" w:name="_Toc21402"/>
      <w:bookmarkStart w:id="938" w:name="_Toc11331"/>
      <w:bookmarkStart w:id="939" w:name="_Toc14965"/>
      <w:bookmarkStart w:id="940" w:name="_Toc21557"/>
      <w:bookmarkStart w:id="941" w:name="_Toc22981"/>
      <w:bookmarkStart w:id="942" w:name="_Toc17620"/>
      <w:bookmarkStart w:id="943" w:name="_Toc7191"/>
      <w:bookmarkStart w:id="944" w:name="_Toc3676"/>
      <w:bookmarkStart w:id="945" w:name="_Toc73112421"/>
      <w:bookmarkStart w:id="946" w:name="_Toc7184"/>
      <w:bookmarkStart w:id="947" w:name="_Toc29287"/>
      <w:bookmarkStart w:id="948" w:name="_Toc28073"/>
      <w:bookmarkStart w:id="949" w:name="_Toc14249"/>
      <w:bookmarkStart w:id="950" w:name="_Toc12239"/>
      <w:bookmarkStart w:id="951" w:name="_Toc27225"/>
      <w:bookmarkStart w:id="952" w:name="_Toc13718"/>
      <w:bookmarkStart w:id="953" w:name="_Toc242"/>
      <w:bookmarkStart w:id="954" w:name="_Toc17568"/>
      <w:bookmarkStart w:id="955" w:name="_Toc14541"/>
      <w:bookmarkStart w:id="956" w:name="_Toc24809"/>
      <w:bookmarkStart w:id="957" w:name="_Toc22207"/>
      <w:bookmarkStart w:id="958" w:name="_Toc23231"/>
      <w:bookmarkStart w:id="959" w:name="_Toc27448"/>
      <w:bookmarkStart w:id="960" w:name="_Toc29964"/>
      <w:bookmarkStart w:id="961" w:name="_Toc25574"/>
      <w:bookmarkStart w:id="962" w:name="_Toc29608"/>
      <w:bookmarkStart w:id="963" w:name="_Toc24517"/>
      <w:bookmarkStart w:id="964" w:name="_Toc15025"/>
      <w:bookmarkStart w:id="965" w:name="_Toc10033"/>
      <w:bookmarkStart w:id="966" w:name="_Toc28506"/>
      <w:bookmarkStart w:id="967" w:name="_Toc31478"/>
      <w:bookmarkStart w:id="968" w:name="_Toc12676"/>
      <w:bookmarkStart w:id="969" w:name="_Toc7463"/>
      <w:bookmarkStart w:id="970" w:name="_Toc6378"/>
      <w:bookmarkStart w:id="971" w:name="_Toc29611"/>
      <w:bookmarkStart w:id="972" w:name="_Toc23191"/>
      <w:bookmarkStart w:id="973" w:name="_Toc9902"/>
      <w:r>
        <w:rPr>
          <w:rFonts w:hint="eastAsia" w:ascii="仿宋" w:hAnsi="仿宋" w:eastAsia="仿宋" w:cs="仿宋"/>
          <w:b/>
          <w:bCs/>
          <w:color w:val="000000" w:themeColor="text1"/>
          <w14:textFill>
            <w14:solidFill>
              <w14:schemeClr w14:val="tx1"/>
            </w14:solidFill>
          </w14:textFill>
        </w:rPr>
        <w:t>1验收的一般约定</w:t>
      </w:r>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p>
    <w:p w14:paraId="6AD36FF8">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1.1验收标准一般以技术协议书和合同规定验收。</w:t>
      </w:r>
    </w:p>
    <w:p w14:paraId="1839EDCD">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1.2如果验收过程中，发现招标文件、投标文件、答疑文件、技术交流文件等与技术协议书、合同存在差异，原则上以涉及条款中对买方最有利条款为验收依据。</w:t>
      </w:r>
    </w:p>
    <w:p w14:paraId="2CA6814D">
      <w:pPr>
        <w:snapToGrid w:val="0"/>
        <w:spacing w:line="360" w:lineRule="auto"/>
        <w:ind w:left="482"/>
        <w:outlineLvl w:val="1"/>
        <w:rPr>
          <w:rFonts w:ascii="仿宋" w:hAnsi="仿宋" w:eastAsia="仿宋" w:cs="仿宋"/>
          <w:b/>
          <w:bCs/>
          <w:color w:val="000000" w:themeColor="text1"/>
          <w14:textFill>
            <w14:solidFill>
              <w14:schemeClr w14:val="tx1"/>
            </w14:solidFill>
          </w14:textFill>
        </w:rPr>
      </w:pPr>
      <w:bookmarkStart w:id="974" w:name="_Toc19505"/>
      <w:bookmarkStart w:id="975" w:name="_Toc2310"/>
      <w:bookmarkStart w:id="976" w:name="_Toc8338"/>
      <w:bookmarkStart w:id="977" w:name="_Toc7457"/>
      <w:bookmarkStart w:id="978" w:name="_Toc10568"/>
      <w:bookmarkStart w:id="979" w:name="_Toc21414"/>
      <w:bookmarkStart w:id="980" w:name="_Toc1155"/>
      <w:bookmarkStart w:id="981" w:name="_Toc13173"/>
      <w:bookmarkStart w:id="982" w:name="_Toc11248"/>
      <w:bookmarkStart w:id="983" w:name="_Toc8742"/>
      <w:bookmarkStart w:id="984" w:name="_Toc21568"/>
      <w:bookmarkStart w:id="985" w:name="_Toc23013"/>
      <w:bookmarkStart w:id="986" w:name="_Toc29669"/>
      <w:bookmarkStart w:id="987" w:name="_Toc25951"/>
      <w:bookmarkStart w:id="988" w:name="_Toc31116"/>
      <w:bookmarkStart w:id="989" w:name="_Toc28873"/>
      <w:bookmarkStart w:id="990" w:name="_Toc30274"/>
      <w:bookmarkStart w:id="991" w:name="_Toc18517"/>
      <w:bookmarkStart w:id="992" w:name="_Toc6471"/>
      <w:bookmarkStart w:id="993" w:name="_Toc28925"/>
      <w:bookmarkStart w:id="994" w:name="_Toc16943"/>
      <w:bookmarkStart w:id="995" w:name="_Toc6206"/>
      <w:bookmarkStart w:id="996" w:name="_Toc16278"/>
      <w:bookmarkStart w:id="997" w:name="_Toc7863"/>
      <w:bookmarkStart w:id="998" w:name="_Toc28148"/>
      <w:bookmarkStart w:id="999" w:name="_Toc73112422"/>
      <w:bookmarkStart w:id="1000" w:name="_Toc17335"/>
      <w:bookmarkStart w:id="1001" w:name="_Toc23133"/>
      <w:bookmarkStart w:id="1002" w:name="_Toc27120"/>
      <w:bookmarkStart w:id="1003" w:name="_Toc8916"/>
      <w:bookmarkStart w:id="1004" w:name="_Toc22558"/>
      <w:bookmarkStart w:id="1005" w:name="_Toc20876"/>
      <w:bookmarkStart w:id="1006" w:name="_Toc15379"/>
      <w:bookmarkStart w:id="1007" w:name="_Toc513"/>
      <w:bookmarkStart w:id="1008" w:name="_Toc10200"/>
      <w:bookmarkStart w:id="1009" w:name="_Toc8093"/>
      <w:bookmarkStart w:id="1010" w:name="_Toc21722"/>
      <w:bookmarkStart w:id="1011" w:name="_Toc22158"/>
      <w:bookmarkStart w:id="1012" w:name="_Toc17720"/>
      <w:bookmarkStart w:id="1013" w:name="_Toc27467"/>
      <w:bookmarkStart w:id="1014" w:name="_Toc32581"/>
      <w:bookmarkStart w:id="1015" w:name="_Toc23919"/>
      <w:bookmarkStart w:id="1016" w:name="_Toc9729"/>
      <w:bookmarkStart w:id="1017" w:name="_Toc13736"/>
      <w:bookmarkStart w:id="1018" w:name="_Toc11335"/>
      <w:r>
        <w:rPr>
          <w:rFonts w:hint="eastAsia" w:ascii="仿宋" w:hAnsi="仿宋" w:eastAsia="仿宋" w:cs="仿宋"/>
          <w:b/>
          <w:bCs/>
          <w:color w:val="000000" w:themeColor="text1"/>
          <w14:textFill>
            <w14:solidFill>
              <w14:schemeClr w14:val="tx1"/>
            </w14:solidFill>
          </w14:textFill>
        </w:rPr>
        <w:t>2检验</w:t>
      </w:r>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p>
    <w:p w14:paraId="57A610D0">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1019" w:name="_Toc228"/>
      <w:bookmarkStart w:id="1020" w:name="_Toc5604"/>
      <w:bookmarkStart w:id="1021" w:name="_Toc31780"/>
      <w:bookmarkStart w:id="1022" w:name="_Toc23252"/>
      <w:bookmarkStart w:id="1023" w:name="_Toc1041"/>
      <w:bookmarkStart w:id="1024" w:name="_Toc15488"/>
      <w:bookmarkStart w:id="1025" w:name="_Toc27538"/>
      <w:bookmarkStart w:id="1026" w:name="_Toc18036"/>
      <w:bookmarkStart w:id="1027" w:name="_Toc18595"/>
      <w:bookmarkStart w:id="1028" w:name="_Toc27594"/>
      <w:bookmarkStart w:id="1029" w:name="_Toc8214"/>
      <w:bookmarkStart w:id="1030" w:name="_Toc14587"/>
      <w:bookmarkStart w:id="1031" w:name="_Toc14904"/>
      <w:bookmarkStart w:id="1032" w:name="_Toc6506"/>
      <w:bookmarkStart w:id="1033" w:name="_Toc11846"/>
      <w:bookmarkStart w:id="1034" w:name="_Toc10879"/>
      <w:bookmarkStart w:id="1035" w:name="_Toc28225"/>
      <w:bookmarkStart w:id="1036" w:name="_Toc27310"/>
      <w:bookmarkStart w:id="1037" w:name="_Toc8128"/>
      <w:bookmarkStart w:id="1038" w:name="_Toc29497"/>
      <w:bookmarkStart w:id="1039" w:name="_Toc25654"/>
      <w:bookmarkStart w:id="1040" w:name="_Toc16878"/>
      <w:bookmarkStart w:id="1041" w:name="_Toc14844"/>
      <w:bookmarkStart w:id="1042" w:name="_Toc5653"/>
      <w:bookmarkStart w:id="1043" w:name="_Toc16665"/>
      <w:bookmarkStart w:id="1044" w:name="_Toc1461"/>
      <w:bookmarkStart w:id="1045" w:name="_Toc73112423"/>
      <w:bookmarkStart w:id="1046" w:name="_Toc1969"/>
      <w:bookmarkStart w:id="1047" w:name="_Toc14993"/>
      <w:bookmarkStart w:id="1048" w:name="_Toc8477"/>
      <w:bookmarkStart w:id="1049" w:name="_Toc21757"/>
      <w:bookmarkStart w:id="1050" w:name="_Toc23250"/>
      <w:bookmarkStart w:id="1051" w:name="_Toc27145"/>
      <w:bookmarkStart w:id="1052" w:name="_Toc27629"/>
      <w:bookmarkStart w:id="1053" w:name="_Toc32111"/>
      <w:bookmarkStart w:id="1054" w:name="_Toc17499"/>
      <w:bookmarkStart w:id="1055" w:name="_Toc21487"/>
      <w:bookmarkStart w:id="1056" w:name="_Toc22379"/>
      <w:bookmarkStart w:id="1057" w:name="_Toc11780"/>
      <w:bookmarkStart w:id="1058" w:name="_Toc30797"/>
      <w:bookmarkStart w:id="1059" w:name="_Toc19311"/>
      <w:bookmarkStart w:id="1060" w:name="_Toc8664"/>
      <w:r>
        <w:rPr>
          <w:rFonts w:hint="eastAsia" w:ascii="仿宋" w:hAnsi="仿宋" w:eastAsia="仿宋" w:cs="仿宋"/>
          <w:color w:val="000000" w:themeColor="text1"/>
          <w14:textFill>
            <w14:solidFill>
              <w14:schemeClr w14:val="tx1"/>
            </w14:solidFill>
          </w14:textFill>
        </w:rPr>
        <w:t>2.1国产货物的检验由卖买双方按照合同要求或在制造现场进行。</w:t>
      </w:r>
    </w:p>
    <w:p w14:paraId="4445C040">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2.2卖方应依据合同规定的要求，提供买卖双方达成一致的货物的验收标准和装箱单，作为买方检验的依据。</w:t>
      </w:r>
    </w:p>
    <w:p w14:paraId="33B252A1">
      <w:pPr>
        <w:snapToGrid w:val="0"/>
        <w:spacing w:line="360" w:lineRule="auto"/>
        <w:ind w:left="482"/>
        <w:outlineLvl w:val="1"/>
        <w:rPr>
          <w:rFonts w:ascii="仿宋" w:hAnsi="仿宋" w:eastAsia="仿宋" w:cs="仿宋"/>
          <w:b/>
          <w:bCs/>
          <w:color w:val="000000" w:themeColor="text1"/>
          <w14:textFill>
            <w14:solidFill>
              <w14:schemeClr w14:val="tx1"/>
            </w14:solidFill>
          </w14:textFill>
        </w:rPr>
      </w:pPr>
      <w:bookmarkStart w:id="1061" w:name="_Toc1970"/>
      <w:bookmarkStart w:id="1062" w:name="_Toc13033"/>
      <w:bookmarkStart w:id="1063" w:name="_Toc15552"/>
      <w:r>
        <w:rPr>
          <w:rFonts w:hint="eastAsia" w:ascii="仿宋" w:hAnsi="仿宋" w:eastAsia="仿宋" w:cs="仿宋"/>
          <w:b/>
          <w:bCs/>
          <w:color w:val="000000" w:themeColor="text1"/>
          <w14:textFill>
            <w14:solidFill>
              <w14:schemeClr w14:val="tx1"/>
            </w14:solidFill>
          </w14:textFill>
        </w:rPr>
        <w:t>3验收条件</w:t>
      </w:r>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p>
    <w:p w14:paraId="59CD1BF7">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2B603C13">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买卖双方按照合同约定执行了合同，同时货物完成了试运行并经检验合格，则具备验收条件。</w:t>
      </w:r>
    </w:p>
    <w:p w14:paraId="737859A4">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1064" w:name="_Toc10586"/>
      <w:bookmarkStart w:id="1065" w:name="_Toc30563"/>
      <w:bookmarkStart w:id="1066" w:name="_Toc6731"/>
      <w:bookmarkStart w:id="1067" w:name="_Toc31328"/>
      <w:bookmarkStart w:id="1068" w:name="_Toc3034"/>
      <w:bookmarkStart w:id="1069" w:name="_Toc5952"/>
      <w:bookmarkStart w:id="1070" w:name="_Toc9015"/>
      <w:bookmarkStart w:id="1071" w:name="_Toc4157"/>
      <w:bookmarkStart w:id="1072" w:name="_Toc20087"/>
      <w:bookmarkStart w:id="1073" w:name="_Toc16974"/>
      <w:bookmarkStart w:id="1074" w:name="_Toc10389"/>
      <w:bookmarkStart w:id="1075" w:name="_Toc18963"/>
      <w:bookmarkStart w:id="1076" w:name="_Toc362"/>
      <w:bookmarkStart w:id="1077" w:name="_Toc20504"/>
      <w:bookmarkStart w:id="1078" w:name="_Toc17709"/>
      <w:bookmarkStart w:id="1079" w:name="_Toc11902"/>
      <w:bookmarkStart w:id="1080" w:name="_Toc18487"/>
      <w:bookmarkStart w:id="1081" w:name="_Toc10052"/>
      <w:bookmarkStart w:id="1082" w:name="_Toc7303"/>
      <w:bookmarkStart w:id="1083" w:name="_Toc24921"/>
      <w:bookmarkStart w:id="1084" w:name="_Toc27856"/>
      <w:bookmarkStart w:id="1085" w:name="_Toc25547"/>
      <w:bookmarkStart w:id="1086" w:name="_Toc1849"/>
      <w:bookmarkStart w:id="1087" w:name="_Toc6977"/>
      <w:bookmarkStart w:id="1088" w:name="_Toc21811"/>
      <w:bookmarkStart w:id="1089" w:name="_Toc24377"/>
      <w:bookmarkStart w:id="1090" w:name="_Toc27848"/>
      <w:bookmarkStart w:id="1091" w:name="_Toc23548"/>
      <w:bookmarkStart w:id="1092" w:name="_Toc4741"/>
      <w:bookmarkStart w:id="1093" w:name="_Toc31639"/>
      <w:bookmarkStart w:id="1094" w:name="_Toc5473"/>
      <w:bookmarkStart w:id="1095" w:name="_Toc18903"/>
      <w:bookmarkStart w:id="1096" w:name="_Toc32498"/>
      <w:bookmarkStart w:id="1097" w:name="_Toc23170"/>
      <w:bookmarkStart w:id="1098" w:name="_Toc16622"/>
      <w:bookmarkStart w:id="1099" w:name="_Toc24814"/>
      <w:bookmarkStart w:id="1100" w:name="_Toc11234"/>
      <w:bookmarkStart w:id="1101" w:name="_Toc11412"/>
      <w:bookmarkStart w:id="1102" w:name="_Toc19344"/>
      <w:bookmarkStart w:id="1103" w:name="_Toc771"/>
      <w:bookmarkStart w:id="1104" w:name="_Toc22247"/>
      <w:r>
        <w:rPr>
          <w:rFonts w:hint="eastAsia" w:ascii="仿宋" w:hAnsi="仿宋" w:eastAsia="仿宋" w:cs="仿宋"/>
          <w:color w:val="000000" w:themeColor="text1"/>
          <w14:textFill>
            <w14:solidFill>
              <w14:schemeClr w14:val="tx1"/>
            </w14:solidFill>
          </w14:textFill>
        </w:rPr>
        <w:t>3.1预验收一般条件</w:t>
      </w:r>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p>
    <w:p w14:paraId="38A962F2">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3.1.1投标方已经按照“供货范围”要求提供了预验收资料，并且资料齐全、完整和有效。</w:t>
      </w:r>
    </w:p>
    <w:p w14:paraId="1E9E7F17">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3.1.2货物应运行稳定、可靠、安全，无非正常变形，非正常振动，无异常声音；无漏水、漏液、漏气（汽）、漏电等现象。运动的零部件（如链条、联轴器、离合器、主轴、工作台等）动作平稳、灵活运动准确。</w:t>
      </w:r>
    </w:p>
    <w:p w14:paraId="1AAB9918">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3.1.3货物应完整且所有的零部件应该安装安全、牢固，外观无损伤，所有的焊缝饱满、无残渣等缺陷。</w:t>
      </w:r>
    </w:p>
    <w:p w14:paraId="47062BF7">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3.1.4一般情况下，所有的管路和线缆等，接头应完全正确、可靠地联接；应排列有序（正确、牢固、整齐），有必要的防护，无皱褶、收缩和裂缝等不良现象。</w:t>
      </w:r>
    </w:p>
    <w:p w14:paraId="328C5378">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3.1.5货物的润滑系统工作正常、可靠，润滑点易于到达。</w:t>
      </w:r>
    </w:p>
    <w:p w14:paraId="4A3C7D8A">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3.1.6使用的压力容器、电气等应具备合格证（如果有压力容器），</w:t>
      </w:r>
    </w:p>
    <w:p w14:paraId="355E9560">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3.1.7货物的油漆质量应饱满、有光泽，无掉漆、无色差、无“桔皮”等不良现象（特殊标志除外）。</w:t>
      </w:r>
    </w:p>
    <w:p w14:paraId="6368BD2B">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3.1.8货物标牌完整、清晰、明确。</w:t>
      </w:r>
    </w:p>
    <w:p w14:paraId="741F37AF">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3.1.9地线联接和地极符合国际（ISO/IEC）标准规范。</w:t>
      </w:r>
    </w:p>
    <w:p w14:paraId="5C233397">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3.1.10货物的安全要求符合中国最新的相关法律、法规、标准和规范以及合同要求。</w:t>
      </w:r>
    </w:p>
    <w:p w14:paraId="38591AE7">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1105" w:name="_Toc4643"/>
      <w:bookmarkStart w:id="1106" w:name="_Toc16821"/>
      <w:bookmarkStart w:id="1107" w:name="_Toc3329"/>
      <w:bookmarkStart w:id="1108" w:name="_Toc17924"/>
      <w:bookmarkStart w:id="1109" w:name="_Toc8938"/>
      <w:bookmarkStart w:id="1110" w:name="_Toc4066"/>
      <w:bookmarkStart w:id="1111" w:name="_Toc18823"/>
      <w:bookmarkStart w:id="1112" w:name="_Toc23596"/>
      <w:bookmarkStart w:id="1113" w:name="_Toc2134"/>
      <w:bookmarkStart w:id="1114" w:name="_Toc2362"/>
      <w:bookmarkStart w:id="1115" w:name="_Toc21629"/>
      <w:bookmarkStart w:id="1116" w:name="_Toc12439"/>
      <w:bookmarkStart w:id="1117" w:name="_Toc19887"/>
      <w:bookmarkStart w:id="1118" w:name="_Toc24874"/>
      <w:bookmarkStart w:id="1119" w:name="_Toc24950"/>
      <w:bookmarkStart w:id="1120" w:name="_Toc931"/>
      <w:bookmarkStart w:id="1121" w:name="_Toc21671"/>
      <w:bookmarkStart w:id="1122" w:name="_Toc5422"/>
      <w:bookmarkStart w:id="1123" w:name="_Toc21953"/>
      <w:bookmarkStart w:id="1124" w:name="_Toc11537"/>
      <w:bookmarkStart w:id="1125" w:name="_Toc8879"/>
      <w:bookmarkStart w:id="1126" w:name="_Toc14552"/>
      <w:bookmarkStart w:id="1127" w:name="_Toc26496"/>
      <w:bookmarkStart w:id="1128" w:name="_Toc8320"/>
      <w:bookmarkStart w:id="1129" w:name="_Toc17523"/>
      <w:bookmarkStart w:id="1130" w:name="_Toc29661"/>
      <w:bookmarkStart w:id="1131" w:name="_Toc27491"/>
      <w:bookmarkStart w:id="1132" w:name="_Toc12987"/>
      <w:bookmarkStart w:id="1133" w:name="_Toc6062"/>
      <w:bookmarkStart w:id="1134" w:name="_Toc7060"/>
      <w:bookmarkStart w:id="1135" w:name="_Toc1293"/>
      <w:bookmarkStart w:id="1136" w:name="_Toc19728"/>
      <w:bookmarkStart w:id="1137" w:name="_Toc30498"/>
      <w:bookmarkStart w:id="1138" w:name="_Toc29327"/>
      <w:bookmarkStart w:id="1139" w:name="_Toc20374"/>
      <w:bookmarkStart w:id="1140" w:name="_Toc15751"/>
      <w:bookmarkStart w:id="1141" w:name="_Toc28390"/>
      <w:bookmarkStart w:id="1142" w:name="_Toc17491"/>
      <w:bookmarkStart w:id="1143" w:name="_Toc9105"/>
      <w:bookmarkStart w:id="1144" w:name="_Toc22891"/>
      <w:bookmarkStart w:id="1145" w:name="_Toc4108"/>
      <w:r>
        <w:rPr>
          <w:rFonts w:hint="eastAsia" w:ascii="仿宋" w:hAnsi="仿宋" w:eastAsia="仿宋" w:cs="仿宋"/>
          <w:color w:val="000000" w:themeColor="text1"/>
          <w14:textFill>
            <w14:solidFill>
              <w14:schemeClr w14:val="tx1"/>
            </w14:solidFill>
          </w14:textFill>
        </w:rPr>
        <w:t>3.2终验收一般条件</w:t>
      </w:r>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p>
    <w:p w14:paraId="1D551ABA">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3.2.1经过预验收而且没有出现新的质量问题，或者满足预验收条款。</w:t>
      </w:r>
    </w:p>
    <w:p w14:paraId="0AEF47E9">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3.2.2货物安装调试完毕，并至少经过了验收要求的负荷试运行。</w:t>
      </w:r>
    </w:p>
    <w:p w14:paraId="78BDF876">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3.2.3货物正常运行时，噪声等环境影响因素满足国家（《工作场所物理因素测量 噪声》GBZ/T 189.8-2007. 噪音≤</w:t>
      </w:r>
      <w:r>
        <w:rPr>
          <w:rFonts w:hint="eastAsia" w:ascii="仿宋" w:hAnsi="仿宋" w:eastAsia="仿宋" w:cs="仿宋"/>
          <w:color w:val="000000" w:themeColor="text1"/>
          <w:lang w:val="en-US" w:eastAsia="zh-CN"/>
          <w14:textFill>
            <w14:solidFill>
              <w14:schemeClr w14:val="tx1"/>
            </w14:solidFill>
          </w14:textFill>
        </w:rPr>
        <w:t>8</w:t>
      </w:r>
      <w:r>
        <w:rPr>
          <w:rFonts w:hint="eastAsia" w:ascii="仿宋" w:hAnsi="仿宋" w:eastAsia="仿宋" w:cs="仿宋"/>
          <w:color w:val="000000" w:themeColor="text1"/>
          <w14:textFill>
            <w14:solidFill>
              <w14:schemeClr w14:val="tx1"/>
            </w14:solidFill>
          </w14:textFill>
        </w:rPr>
        <w:t>0dB(A)）和当地环保主管部门规定。投标方需提供由第三方检测机构出具的检测报告 ，检测事宜及费用由投标方负责，招标方负责相关配合协调工作。</w:t>
      </w:r>
    </w:p>
    <w:p w14:paraId="6B96DB07">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3.2.4计量仪器、仪表配套合理，采用中国的法定计量单位，计量准确、灵敏可靠。保证设计指标和仪器说明书的参数的实现。</w:t>
      </w:r>
    </w:p>
    <w:p w14:paraId="5FF5F179">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3.2.5试运行期间或之后无维修、调整等行为（特殊情况除外）。</w:t>
      </w:r>
    </w:p>
    <w:p w14:paraId="604B4477">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3.2.6货物质量、技术性能等，达到签定的技术协议书和合同规定的终验收标准。</w:t>
      </w:r>
    </w:p>
    <w:p w14:paraId="540882A3">
      <w:pPr>
        <w:snapToGrid w:val="0"/>
        <w:spacing w:line="360" w:lineRule="auto"/>
        <w:ind w:left="482"/>
        <w:outlineLvl w:val="1"/>
        <w:rPr>
          <w:rFonts w:ascii="仿宋" w:hAnsi="仿宋" w:eastAsia="仿宋" w:cs="仿宋"/>
          <w:b/>
          <w:bCs/>
          <w:color w:val="000000" w:themeColor="text1"/>
          <w14:textFill>
            <w14:solidFill>
              <w14:schemeClr w14:val="tx1"/>
            </w14:solidFill>
          </w14:textFill>
        </w:rPr>
      </w:pPr>
      <w:bookmarkStart w:id="1146" w:name="_Toc22915"/>
      <w:bookmarkStart w:id="1147" w:name="_Toc7243"/>
      <w:bookmarkStart w:id="1148" w:name="_Toc10673"/>
      <w:bookmarkStart w:id="1149" w:name="_Toc1469"/>
      <w:bookmarkStart w:id="1150" w:name="_Toc28499"/>
      <w:bookmarkStart w:id="1151" w:name="_Toc9027"/>
      <w:bookmarkStart w:id="1152" w:name="_Toc22500"/>
      <w:bookmarkStart w:id="1153" w:name="_Toc551"/>
      <w:bookmarkStart w:id="1154" w:name="_Toc193"/>
      <w:bookmarkStart w:id="1155" w:name="_Toc26083"/>
      <w:bookmarkStart w:id="1156" w:name="_Toc6573"/>
      <w:bookmarkStart w:id="1157" w:name="_Toc20983"/>
      <w:bookmarkStart w:id="1158" w:name="_Toc73112424"/>
      <w:bookmarkStart w:id="1159" w:name="_Toc1885"/>
      <w:bookmarkStart w:id="1160" w:name="_Toc21504"/>
      <w:bookmarkStart w:id="1161" w:name="_Toc1961"/>
      <w:bookmarkStart w:id="1162" w:name="_Toc17549"/>
      <w:bookmarkStart w:id="1163" w:name="_Toc1761"/>
      <w:bookmarkStart w:id="1164" w:name="_Toc32661"/>
      <w:bookmarkStart w:id="1165" w:name="_Toc11114"/>
      <w:bookmarkStart w:id="1166" w:name="_Toc17223"/>
      <w:bookmarkStart w:id="1167" w:name="_Toc1804"/>
      <w:bookmarkStart w:id="1168" w:name="_Toc21291"/>
      <w:bookmarkStart w:id="1169" w:name="_Toc25411"/>
      <w:r>
        <w:rPr>
          <w:rFonts w:hint="eastAsia" w:ascii="仿宋" w:hAnsi="仿宋" w:eastAsia="仿宋" w:cs="仿宋"/>
          <w:b/>
          <w:bCs/>
          <w:color w:val="000000" w:themeColor="text1"/>
          <w14:textFill>
            <w14:solidFill>
              <w14:schemeClr w14:val="tx1"/>
            </w14:solidFill>
          </w14:textFill>
        </w:rPr>
        <w:t>4终验收基本要求</w:t>
      </w:r>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p>
    <w:p w14:paraId="5660D198">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4.1货物允许情况下，一般先连续空运转</w:t>
      </w:r>
      <w:r>
        <w:rPr>
          <w:rFonts w:hint="eastAsia" w:ascii="仿宋" w:hAnsi="仿宋" w:eastAsia="仿宋" w:cs="仿宋"/>
          <w:color w:val="000000" w:themeColor="text1"/>
          <w:u w:val="single"/>
          <w:shd w:val="pct10" w:color="auto" w:fill="FFFFFF"/>
          <w14:textFill>
            <w14:solidFill>
              <w14:schemeClr w14:val="tx1"/>
            </w14:solidFill>
          </w14:textFill>
        </w:rPr>
        <w:t>8</w:t>
      </w:r>
      <w:r>
        <w:rPr>
          <w:rFonts w:hint="eastAsia" w:ascii="仿宋" w:hAnsi="仿宋" w:eastAsia="仿宋" w:cs="仿宋"/>
          <w:color w:val="000000" w:themeColor="text1"/>
          <w14:textFill>
            <w14:solidFill>
              <w14:schemeClr w14:val="tx1"/>
            </w14:solidFill>
          </w14:textFill>
        </w:rPr>
        <w:t>小时，然后再进行负荷运行。</w:t>
      </w:r>
    </w:p>
    <w:p w14:paraId="146AFEDA">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4.2负荷运行时，货物应连续运行</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u w:val="single"/>
          <w:shd w:val="pct10" w:color="auto" w:fill="FFFFFF"/>
          <w14:textFill>
            <w14:solidFill>
              <w14:schemeClr w14:val="tx1"/>
            </w14:solidFill>
          </w14:textFill>
        </w:rPr>
        <w:t>15</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天，每天连续</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u w:val="single"/>
          <w:shd w:val="pct10" w:color="auto" w:fill="FFFFFF"/>
          <w14:textFill>
            <w14:solidFill>
              <w14:schemeClr w14:val="tx1"/>
            </w14:solidFill>
          </w14:textFill>
        </w:rPr>
        <w:t xml:space="preserve">8 </w:t>
      </w:r>
      <w:r>
        <w:rPr>
          <w:rFonts w:hint="eastAsia" w:ascii="仿宋" w:hAnsi="仿宋" w:eastAsia="仿宋" w:cs="仿宋"/>
          <w:color w:val="000000" w:themeColor="text1"/>
          <w14:textFill>
            <w14:solidFill>
              <w14:schemeClr w14:val="tx1"/>
            </w14:solidFill>
          </w14:textFill>
        </w:rPr>
        <w:t>小时，除用户方面因素外，必须达到以下要求：</w:t>
      </w:r>
    </w:p>
    <w:p w14:paraId="3756F416">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4.2.1在整个验收过程中没有维修、更换零部件或元件行为；</w:t>
      </w:r>
    </w:p>
    <w:p w14:paraId="71669B7E">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4.2.2所有出现的调整，每次调整时间均不超过</w:t>
      </w:r>
      <w:r>
        <w:rPr>
          <w:rFonts w:hint="eastAsia" w:ascii="仿宋" w:hAnsi="仿宋" w:eastAsia="仿宋" w:cs="仿宋"/>
          <w:color w:val="000000" w:themeColor="text1"/>
          <w:u w:val="single"/>
          <w:shd w:val="pct10" w:color="auto" w:fill="FFFFFF"/>
          <w14:textFill>
            <w14:solidFill>
              <w14:schemeClr w14:val="tx1"/>
            </w14:solidFill>
          </w14:textFill>
        </w:rPr>
        <w:t>120</w:t>
      </w:r>
      <w:r>
        <w:rPr>
          <w:rFonts w:hint="eastAsia" w:ascii="仿宋" w:hAnsi="仿宋" w:eastAsia="仿宋" w:cs="仿宋"/>
          <w:color w:val="000000" w:themeColor="text1"/>
          <w14:textFill>
            <w14:solidFill>
              <w14:schemeClr w14:val="tx1"/>
            </w14:solidFill>
          </w14:textFill>
        </w:rPr>
        <w:t>分钟；</w:t>
      </w:r>
    </w:p>
    <w:p w14:paraId="15922ED7">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4.2.3所有调整时间的总和不超过总运行时间的</w:t>
      </w:r>
      <w:r>
        <w:rPr>
          <w:rFonts w:hint="eastAsia" w:ascii="仿宋" w:hAnsi="仿宋" w:eastAsia="仿宋" w:cs="仿宋"/>
          <w:color w:val="000000" w:themeColor="text1"/>
          <w:u w:val="single"/>
          <w:shd w:val="pct10" w:color="auto" w:fill="FFFFFF"/>
          <w14:textFill>
            <w14:solidFill>
              <w14:schemeClr w14:val="tx1"/>
            </w14:solidFill>
          </w14:textFill>
        </w:rPr>
        <w:t>20</w:t>
      </w:r>
      <w:r>
        <w:rPr>
          <w:rFonts w:hint="eastAsia" w:ascii="仿宋" w:hAnsi="仿宋" w:eastAsia="仿宋" w:cs="仿宋"/>
          <w:color w:val="000000" w:themeColor="text1"/>
          <w14:textFill>
            <w14:solidFill>
              <w14:schemeClr w14:val="tx1"/>
            </w14:solidFill>
          </w14:textFill>
        </w:rPr>
        <w:t>%；</w:t>
      </w:r>
    </w:p>
    <w:p w14:paraId="39BD3DAD">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4.2.4累计负载运行实际性能（或生产率）达到合同规定；（节拍超出标书规定在20%以内，罚款额为货物总价的10%；超过20%以上，视为供货方违约，招标方有权解除合同，由此造成的损失由投标方承担）。</w:t>
      </w:r>
    </w:p>
    <w:p w14:paraId="3A82BF9D">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1170" w:name="_Toc133783975"/>
      <w:r>
        <w:rPr>
          <w:rFonts w:hint="eastAsia" w:ascii="仿宋" w:hAnsi="仿宋" w:eastAsia="仿宋" w:cs="仿宋"/>
          <w:color w:val="000000" w:themeColor="text1"/>
          <w14:textFill>
            <w14:solidFill>
              <w14:schemeClr w14:val="tx1"/>
            </w14:solidFill>
          </w14:textFill>
        </w:rPr>
        <w:t>4.2.5 设备满足现场使用要求，符合技术要求。</w:t>
      </w:r>
    </w:p>
    <w:p w14:paraId="24E379DB">
      <w:pPr>
        <w:adjustRightInd w:val="0"/>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4.2.6 终验收以招标方单位《新增设备安装竣工验收转资单》签署单为最终验收证明，同时移交、核对全部供货范围内物品。</w:t>
      </w:r>
    </w:p>
    <w:p w14:paraId="08C76020">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br w:type="page"/>
      </w:r>
    </w:p>
    <w:p w14:paraId="061AF432">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1171" w:name="_Toc23397"/>
      <w:bookmarkStart w:id="1172" w:name="_Toc663"/>
      <w:bookmarkStart w:id="1173" w:name="_Toc2957"/>
      <w:bookmarkStart w:id="1174" w:name="_Toc27525"/>
      <w:bookmarkStart w:id="1175" w:name="_Toc2249"/>
      <w:bookmarkStart w:id="1176" w:name="_Toc23268"/>
      <w:bookmarkStart w:id="1177" w:name="_Toc12636"/>
      <w:bookmarkStart w:id="1178" w:name="_Toc2612"/>
      <w:bookmarkStart w:id="1179" w:name="_Toc30656"/>
      <w:bookmarkStart w:id="1180" w:name="_Toc28136"/>
      <w:bookmarkStart w:id="1181" w:name="_Toc14217"/>
      <w:bookmarkStart w:id="1182" w:name="_Toc8435"/>
      <w:bookmarkStart w:id="1183" w:name="_Toc25348"/>
      <w:bookmarkStart w:id="1184" w:name="_Toc7458"/>
      <w:bookmarkStart w:id="1185" w:name="_Toc22179"/>
      <w:bookmarkStart w:id="1186" w:name="_Toc14133"/>
      <w:bookmarkStart w:id="1187" w:name="_Toc25401"/>
      <w:bookmarkStart w:id="1188" w:name="_Toc17110"/>
      <w:bookmarkStart w:id="1189" w:name="_Toc1195"/>
      <w:bookmarkStart w:id="1190" w:name="_Toc29322"/>
      <w:bookmarkStart w:id="1191" w:name="_Toc1683"/>
      <w:bookmarkStart w:id="1192" w:name="_Toc15351"/>
      <w:bookmarkStart w:id="1193" w:name="_Toc27346"/>
      <w:bookmarkStart w:id="1194" w:name="_Toc10830"/>
      <w:bookmarkStart w:id="1195" w:name="_Toc24925"/>
      <w:bookmarkStart w:id="1196" w:name="_Toc18146"/>
      <w:bookmarkStart w:id="1197" w:name="_Toc28594"/>
      <w:bookmarkStart w:id="1198" w:name="_Toc31042"/>
      <w:bookmarkStart w:id="1199" w:name="_Toc30125"/>
      <w:bookmarkStart w:id="1200" w:name="_Toc32696"/>
      <w:bookmarkStart w:id="1201" w:name="_Toc1228"/>
      <w:bookmarkStart w:id="1202" w:name="_Toc30187"/>
      <w:bookmarkStart w:id="1203" w:name="_Toc4953"/>
      <w:bookmarkStart w:id="1204" w:name="_Toc1705"/>
      <w:bookmarkStart w:id="1205" w:name="_Toc26248"/>
      <w:bookmarkStart w:id="1206" w:name="_Toc1673"/>
      <w:bookmarkStart w:id="1207" w:name="_Toc22488"/>
      <w:bookmarkStart w:id="1208" w:name="_Toc8015"/>
      <w:bookmarkStart w:id="1209" w:name="_Toc20836"/>
      <w:bookmarkStart w:id="1210" w:name="_Toc15914"/>
      <w:bookmarkStart w:id="1211" w:name="_Toc23616"/>
      <w:bookmarkStart w:id="1212" w:name="_Toc19911"/>
      <w:bookmarkStart w:id="1213" w:name="_Toc30219"/>
      <w:bookmarkStart w:id="1214" w:name="_Toc32074"/>
      <w:bookmarkStart w:id="1215" w:name="_Toc18510"/>
      <w:bookmarkStart w:id="1216" w:name="_Toc73112425"/>
      <w:r>
        <w:rPr>
          <w:rFonts w:hint="eastAsia" w:ascii="仿宋" w:hAnsi="仿宋" w:eastAsia="仿宋" w:cs="仿宋"/>
          <w:b/>
          <w:bCs/>
          <w:color w:val="000000" w:themeColor="text1"/>
          <w14:textFill>
            <w14:solidFill>
              <w14:schemeClr w14:val="tx1"/>
            </w14:solidFill>
          </w14:textFill>
        </w:rPr>
        <w:t>第六章投标技术文件一般要求</w:t>
      </w:r>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p>
    <w:p w14:paraId="0DCDD6FC">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1投标方应认真阅读招标文件和本技术标书，并按要求编写投标技术文件。</w:t>
      </w:r>
    </w:p>
    <w:p w14:paraId="3A32A301">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2投标技术文件至少应对投标货物的“技术偏离”、“商务偏离”作出有无说明；若有，应予以详细填写和说明。</w:t>
      </w:r>
    </w:p>
    <w:p w14:paraId="5256BD61">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3投标技术文件至少应对投标货物的功能用途、技术性能、质量标准、技术参数等作出详细说明。</w:t>
      </w:r>
    </w:p>
    <w:p w14:paraId="498DE9D9">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4投标技术文件至少应根据投标货物的关键设备、总成、零部件或系统作出优越性说明。</w:t>
      </w:r>
    </w:p>
    <w:p w14:paraId="00B288A6">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5投标技术文件至少应根据投标货物的配置，按照备品备件、易损件和专用耗材明细表要求以及投标货物主要配置一览表要求（见下表），认真全面填写。</w:t>
      </w:r>
    </w:p>
    <w:p w14:paraId="2799B266">
      <w:pPr>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投标货物主要配置一览表单位：元</w:t>
      </w:r>
    </w:p>
    <w:tbl>
      <w:tblPr>
        <w:tblStyle w:val="36"/>
        <w:tblpPr w:leftFromText="180" w:rightFromText="180" w:vertAnchor="text" w:tblpXSpec="center" w:tblpY="1"/>
        <w:tblOverlap w:val="never"/>
        <w:tblW w:w="81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8"/>
        <w:gridCol w:w="1940"/>
        <w:gridCol w:w="697"/>
        <w:gridCol w:w="697"/>
        <w:gridCol w:w="697"/>
        <w:gridCol w:w="697"/>
        <w:gridCol w:w="1665"/>
      </w:tblGrid>
      <w:tr w14:paraId="28922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658EAC69">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名称</w:t>
            </w:r>
          </w:p>
        </w:tc>
        <w:tc>
          <w:tcPr>
            <w:tcW w:w="1940" w:type="dxa"/>
          </w:tcPr>
          <w:p w14:paraId="4B202055">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型号规格</w:t>
            </w:r>
          </w:p>
        </w:tc>
        <w:tc>
          <w:tcPr>
            <w:tcW w:w="697" w:type="dxa"/>
          </w:tcPr>
          <w:p w14:paraId="6F73C34A">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单位</w:t>
            </w:r>
          </w:p>
        </w:tc>
        <w:tc>
          <w:tcPr>
            <w:tcW w:w="697" w:type="dxa"/>
          </w:tcPr>
          <w:p w14:paraId="7E4B07B8">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数量</w:t>
            </w:r>
          </w:p>
        </w:tc>
        <w:tc>
          <w:tcPr>
            <w:tcW w:w="697" w:type="dxa"/>
          </w:tcPr>
          <w:p w14:paraId="7BD633BA">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单价</w:t>
            </w:r>
          </w:p>
        </w:tc>
        <w:tc>
          <w:tcPr>
            <w:tcW w:w="697" w:type="dxa"/>
          </w:tcPr>
          <w:p w14:paraId="313002CF">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总价</w:t>
            </w:r>
          </w:p>
        </w:tc>
        <w:tc>
          <w:tcPr>
            <w:tcW w:w="1665" w:type="dxa"/>
          </w:tcPr>
          <w:p w14:paraId="6D73E0F8">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制造商</w:t>
            </w:r>
          </w:p>
        </w:tc>
      </w:tr>
      <w:tr w14:paraId="59946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0EA3860D">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940" w:type="dxa"/>
          </w:tcPr>
          <w:p w14:paraId="750E756A">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1D8870AC">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3276100F">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675C342E">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2756B746">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665" w:type="dxa"/>
          </w:tcPr>
          <w:p w14:paraId="549F6342">
            <w:pPr>
              <w:adjustRightInd w:val="0"/>
              <w:snapToGrid w:val="0"/>
              <w:spacing w:line="360" w:lineRule="auto"/>
              <w:rPr>
                <w:rFonts w:ascii="仿宋" w:hAnsi="仿宋" w:eastAsia="仿宋" w:cs="仿宋"/>
                <w:color w:val="000000" w:themeColor="text1"/>
                <w14:textFill>
                  <w14:solidFill>
                    <w14:schemeClr w14:val="tx1"/>
                  </w14:solidFill>
                </w14:textFill>
              </w:rPr>
            </w:pPr>
          </w:p>
        </w:tc>
      </w:tr>
      <w:tr w14:paraId="397D6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05E60A4B">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940" w:type="dxa"/>
          </w:tcPr>
          <w:p w14:paraId="0F93E64C">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4B1F97C0">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6EF4513C">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2344ADC4">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59296A8E">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665" w:type="dxa"/>
          </w:tcPr>
          <w:p w14:paraId="3B5B08AC">
            <w:pPr>
              <w:adjustRightInd w:val="0"/>
              <w:snapToGrid w:val="0"/>
              <w:spacing w:line="360" w:lineRule="auto"/>
              <w:rPr>
                <w:rFonts w:ascii="仿宋" w:hAnsi="仿宋" w:eastAsia="仿宋" w:cs="仿宋"/>
                <w:color w:val="000000" w:themeColor="text1"/>
                <w14:textFill>
                  <w14:solidFill>
                    <w14:schemeClr w14:val="tx1"/>
                  </w14:solidFill>
                </w14:textFill>
              </w:rPr>
            </w:pPr>
          </w:p>
        </w:tc>
      </w:tr>
      <w:tr w14:paraId="74992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799ACD3C">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940" w:type="dxa"/>
          </w:tcPr>
          <w:p w14:paraId="173F5920">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68F4ABDE">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28299596">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60E3C94A">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548F007B">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665" w:type="dxa"/>
          </w:tcPr>
          <w:p w14:paraId="382432CD">
            <w:pPr>
              <w:adjustRightInd w:val="0"/>
              <w:snapToGrid w:val="0"/>
              <w:spacing w:line="360" w:lineRule="auto"/>
              <w:rPr>
                <w:rFonts w:ascii="仿宋" w:hAnsi="仿宋" w:eastAsia="仿宋" w:cs="仿宋"/>
                <w:color w:val="000000" w:themeColor="text1"/>
                <w14:textFill>
                  <w14:solidFill>
                    <w14:schemeClr w14:val="tx1"/>
                  </w14:solidFill>
                </w14:textFill>
              </w:rPr>
            </w:pPr>
          </w:p>
        </w:tc>
      </w:tr>
    </w:tbl>
    <w:p w14:paraId="1CD59796">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备注：本表作为投标方编制投标技术文件的一般格式。表中应当尽可能将配置列全、列细，这将有助于投标方胜出。</w:t>
      </w:r>
    </w:p>
    <w:p w14:paraId="1D1C5250">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6投标技术文件至少应对招标文件和本技术标书所提出的要求，将投标方认为难以满足的条款和要求，予以明确和详细的说明或澄清。</w:t>
      </w:r>
    </w:p>
    <w:p w14:paraId="493E88C0">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7投标技术文件中，如未按照要求编写而存在漏项或缺项，将有可能造成对投标方不必要的误解；必要时，漏项或缺项涉及的费用，将有可能以其它投标方中，相同或相似项目的最高价，计入投标方的投标总报价之内，作为评标的依据之一。</w:t>
      </w:r>
    </w:p>
    <w:p w14:paraId="606779F8">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8供货范围内的物品或服务，应当尽可能详细且分类填入配置表，其费用应当计入投标总报价之内。如果出现不一致的报价，将有可能导致废标。</w:t>
      </w:r>
    </w:p>
    <w:p w14:paraId="21C7B9D2">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9除招标文件明确的验收标准或内容之外，投标方应当在投标文件中提供预验收（必要时）和终验收的标准以及规程，在合同签定之前，经投标方和招标方双方洽谈确认并签署，以作为验收标准执行。</w:t>
      </w:r>
    </w:p>
    <w:p w14:paraId="0895FC47">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10带 ★ 号条款为否定项条款。</w:t>
      </w:r>
      <w:bookmarkStart w:id="1217" w:name="_Toc133783976"/>
    </w:p>
    <w:p w14:paraId="1C2CC7FE">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1218" w:name="_Toc11416"/>
      <w:bookmarkStart w:id="1219" w:name="_Toc32403"/>
      <w:bookmarkStart w:id="1220" w:name="_Toc5380"/>
      <w:bookmarkStart w:id="1221" w:name="_Toc73112426"/>
      <w:bookmarkStart w:id="1222" w:name="_Toc16301"/>
      <w:bookmarkStart w:id="1223" w:name="_Toc25344"/>
      <w:bookmarkStart w:id="1224" w:name="_Toc9954"/>
      <w:bookmarkStart w:id="1225" w:name="_Toc22743"/>
      <w:bookmarkStart w:id="1226" w:name="_Toc623"/>
      <w:bookmarkStart w:id="1227" w:name="_Toc19119"/>
      <w:bookmarkStart w:id="1228" w:name="_Toc2341"/>
      <w:bookmarkStart w:id="1229" w:name="_Toc25823"/>
      <w:bookmarkStart w:id="1230" w:name="_Toc31830"/>
      <w:bookmarkStart w:id="1231" w:name="_Toc29655"/>
      <w:bookmarkStart w:id="1232" w:name="_Toc24401"/>
      <w:bookmarkStart w:id="1233" w:name="_Toc17174"/>
      <w:bookmarkStart w:id="1234" w:name="_Toc7423"/>
      <w:bookmarkStart w:id="1235" w:name="_Toc3744"/>
      <w:bookmarkStart w:id="1236" w:name="_Toc4040"/>
      <w:bookmarkStart w:id="1237" w:name="_Toc10081"/>
      <w:bookmarkStart w:id="1238" w:name="_Toc26481"/>
      <w:bookmarkStart w:id="1239" w:name="_Toc15684"/>
      <w:bookmarkStart w:id="1240" w:name="_Toc15645"/>
      <w:bookmarkStart w:id="1241" w:name="_Toc671"/>
      <w:bookmarkStart w:id="1242" w:name="_Toc3256"/>
      <w:bookmarkStart w:id="1243" w:name="_Toc23538"/>
      <w:bookmarkStart w:id="1244" w:name="_Toc919"/>
      <w:bookmarkStart w:id="1245" w:name="_Toc7541"/>
      <w:bookmarkStart w:id="1246" w:name="_Toc2151"/>
      <w:bookmarkStart w:id="1247" w:name="_Toc29369"/>
      <w:bookmarkStart w:id="1248" w:name="_Toc17045"/>
      <w:bookmarkStart w:id="1249" w:name="_Toc2177"/>
      <w:bookmarkStart w:id="1250" w:name="_Toc26559"/>
      <w:bookmarkStart w:id="1251" w:name="_Toc147"/>
      <w:bookmarkStart w:id="1252" w:name="_Toc10484"/>
      <w:bookmarkStart w:id="1253" w:name="_Toc13666"/>
      <w:bookmarkStart w:id="1254" w:name="_Toc4563"/>
      <w:bookmarkStart w:id="1255" w:name="_Toc19821"/>
      <w:bookmarkStart w:id="1256" w:name="_Toc19444"/>
      <w:bookmarkStart w:id="1257" w:name="_Toc17463"/>
      <w:bookmarkStart w:id="1258" w:name="_Toc19043"/>
      <w:bookmarkStart w:id="1259" w:name="_Toc2783"/>
      <w:bookmarkStart w:id="1260" w:name="_Toc1126"/>
      <w:bookmarkStart w:id="1261" w:name="_Toc11155"/>
      <w:bookmarkStart w:id="1262" w:name="_Toc5153"/>
      <w:bookmarkStart w:id="1263" w:name="_Toc13350"/>
      <w:r>
        <w:rPr>
          <w:rFonts w:hint="eastAsia" w:ascii="仿宋" w:hAnsi="仿宋" w:eastAsia="仿宋" w:cs="仿宋"/>
          <w:b/>
          <w:bCs/>
          <w:color w:val="000000" w:themeColor="text1"/>
          <w14:textFill>
            <w14:solidFill>
              <w14:schemeClr w14:val="tx1"/>
            </w14:solidFill>
          </w14:textFill>
        </w:rPr>
        <w:t>第七章其它要求</w:t>
      </w:r>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p>
    <w:p w14:paraId="4C3D817D">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1264" w:name="_Toc14684"/>
      <w:bookmarkStart w:id="1265" w:name="_Toc3164"/>
      <w:bookmarkStart w:id="1266" w:name="_Toc32544"/>
      <w:bookmarkStart w:id="1267" w:name="_Toc31105"/>
      <w:bookmarkStart w:id="1268" w:name="_Toc16614"/>
      <w:bookmarkStart w:id="1269" w:name="_Toc4997"/>
      <w:bookmarkStart w:id="1270" w:name="_Toc15205"/>
      <w:bookmarkStart w:id="1271" w:name="_Toc15256"/>
      <w:bookmarkStart w:id="1272" w:name="_Toc5514"/>
      <w:bookmarkStart w:id="1273" w:name="_Toc12029"/>
      <w:bookmarkStart w:id="1274" w:name="_Toc2497"/>
      <w:bookmarkStart w:id="1275" w:name="_Toc18469"/>
      <w:bookmarkStart w:id="1276" w:name="_Toc13820"/>
      <w:bookmarkStart w:id="1277" w:name="_Toc32525"/>
      <w:bookmarkStart w:id="1278" w:name="_Toc11058"/>
      <w:bookmarkStart w:id="1279" w:name="_Toc24680"/>
      <w:bookmarkStart w:id="1280" w:name="_Toc12542"/>
      <w:bookmarkStart w:id="1281" w:name="_Toc25903"/>
      <w:bookmarkStart w:id="1282" w:name="_Toc73112427"/>
      <w:bookmarkStart w:id="1283" w:name="_Toc30535"/>
      <w:bookmarkStart w:id="1284" w:name="_Toc22010"/>
      <w:bookmarkStart w:id="1285" w:name="_Toc24782"/>
      <w:bookmarkStart w:id="1286" w:name="_Toc29679"/>
      <w:bookmarkStart w:id="1287" w:name="_Toc16829"/>
      <w:bookmarkStart w:id="1288" w:name="_Toc32012"/>
      <w:bookmarkStart w:id="1289" w:name="_Toc24669"/>
      <w:bookmarkStart w:id="1290" w:name="_Toc15541"/>
      <w:bookmarkStart w:id="1291" w:name="_Toc22430"/>
      <w:bookmarkStart w:id="1292" w:name="_Toc21465"/>
      <w:bookmarkStart w:id="1293" w:name="_Toc26831"/>
      <w:bookmarkStart w:id="1294" w:name="_Toc12406"/>
      <w:bookmarkStart w:id="1295" w:name="_Toc16802"/>
      <w:bookmarkStart w:id="1296" w:name="_Toc17623"/>
      <w:bookmarkStart w:id="1297" w:name="_Toc24181"/>
      <w:bookmarkStart w:id="1298" w:name="_Toc32470"/>
      <w:bookmarkStart w:id="1299" w:name="_Toc29015"/>
      <w:bookmarkStart w:id="1300" w:name="_Toc28364"/>
      <w:bookmarkStart w:id="1301" w:name="_Toc17702"/>
      <w:bookmarkStart w:id="1302" w:name="_Toc17357"/>
      <w:bookmarkStart w:id="1303" w:name="_Toc14484"/>
      <w:bookmarkStart w:id="1304" w:name="_Toc11901"/>
      <w:bookmarkStart w:id="1305" w:name="_Toc27273"/>
      <w:bookmarkStart w:id="1306" w:name="_Toc17435"/>
      <w:bookmarkStart w:id="1307" w:name="_Toc20262"/>
      <w:bookmarkStart w:id="1308" w:name="_Toc17727"/>
      <w:r>
        <w:rPr>
          <w:rFonts w:hint="eastAsia" w:ascii="仿宋" w:hAnsi="仿宋" w:eastAsia="仿宋" w:cs="仿宋"/>
          <w:b/>
          <w:bCs/>
          <w:color w:val="000000" w:themeColor="text1"/>
          <w14:textFill>
            <w14:solidFill>
              <w14:schemeClr w14:val="tx1"/>
            </w14:solidFill>
          </w14:textFill>
        </w:rPr>
        <w:t>1特殊要求</w:t>
      </w:r>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p>
    <w:p w14:paraId="16BD94D1">
      <w:pPr>
        <w:pStyle w:val="19"/>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为保证本技术标书所列采购货物的质量以及先进性、可靠性、经济性和实用性，要求投标方在投标文件中，至少应具备以下资格证明文件或资料：</w:t>
      </w:r>
    </w:p>
    <w:p w14:paraId="53DBE962">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1.1投标方应是通过有关资格认证的单位，因此应附有有效期内的资格认证证书，如：ISO9001、VDA6.1、QS9000等。</w:t>
      </w:r>
    </w:p>
    <w:p w14:paraId="6E1AACA3">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1.2国产设备应附有采购货物（或设备）涉及的由“中国质量认证中心”颁发的《中国国家强制性产品认证证书》（CCC证书）。</w:t>
      </w:r>
    </w:p>
    <w:p w14:paraId="7F9B251E">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1.3必须附有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方应当保证其业绩的真实性，否则将影响投标或中标资格。</w:t>
      </w:r>
    </w:p>
    <w:p w14:paraId="7C6FEA83">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1.4应附有其它与投标单位、采购货物有关的荣誉证书或资料。</w:t>
      </w:r>
    </w:p>
    <w:p w14:paraId="602BA386">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1.5应附有中国相关国家部委颁发的有效期之内所必需的《生产许可证》。</w:t>
      </w:r>
    </w:p>
    <w:p w14:paraId="2FC086BA">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1.6应附有必要的采购货物（或设备）的相关检验、试验报告，如：《型式试验的检验报告》、《产品鉴定证书》、《新技术成果证书》等。</w:t>
      </w:r>
    </w:p>
    <w:p w14:paraId="347E606C">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1.7投标方必须附有采购货物（或设备）涉及国家规定必须进行的检验、试验报告等。</w:t>
      </w:r>
    </w:p>
    <w:p w14:paraId="73E72D92">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1.8可附有投标方认为能够证明其所供设备的质量水平、技术水平、安全性水平、节能性水平、环保性水平等相关的其它证明文件或资料、报告等，如电气开关柜等电气设备的内部故障电弧效应试验报告、噪声较大设备的噪声检验报告等。</w:t>
      </w:r>
    </w:p>
    <w:p w14:paraId="7DC2DF89">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1309" w:name="_Toc11707"/>
      <w:bookmarkStart w:id="1310" w:name="_Toc20370"/>
      <w:bookmarkStart w:id="1311" w:name="_Toc14956"/>
      <w:bookmarkStart w:id="1312" w:name="_Toc26724"/>
      <w:bookmarkStart w:id="1313" w:name="_Toc18745"/>
      <w:bookmarkStart w:id="1314" w:name="_Toc13497"/>
      <w:bookmarkStart w:id="1315" w:name="_Toc21942"/>
      <w:bookmarkStart w:id="1316" w:name="_Toc9442"/>
      <w:bookmarkStart w:id="1317" w:name="_Toc13528"/>
      <w:bookmarkStart w:id="1318" w:name="_Toc4278"/>
      <w:bookmarkStart w:id="1319" w:name="_Toc3658"/>
      <w:bookmarkStart w:id="1320" w:name="_Toc3323"/>
      <w:bookmarkStart w:id="1321" w:name="_Toc25028"/>
      <w:bookmarkStart w:id="1322" w:name="_Toc5504"/>
      <w:bookmarkStart w:id="1323" w:name="_Toc22763"/>
      <w:bookmarkStart w:id="1324" w:name="_Toc22893"/>
      <w:bookmarkStart w:id="1325" w:name="_Toc7398"/>
      <w:bookmarkStart w:id="1326" w:name="_Toc14052"/>
      <w:bookmarkStart w:id="1327" w:name="_Toc28559"/>
      <w:bookmarkStart w:id="1328" w:name="_Toc25498"/>
      <w:bookmarkStart w:id="1329" w:name="_Toc24482"/>
      <w:bookmarkStart w:id="1330" w:name="_Toc18370"/>
      <w:bookmarkStart w:id="1331" w:name="_Toc28718"/>
      <w:bookmarkStart w:id="1332" w:name="_Toc20830"/>
      <w:bookmarkStart w:id="1333" w:name="_Toc29954"/>
      <w:bookmarkStart w:id="1334" w:name="_Toc4243"/>
      <w:bookmarkStart w:id="1335" w:name="_Toc73112429"/>
      <w:bookmarkStart w:id="1336" w:name="_Toc18674"/>
      <w:bookmarkStart w:id="1337" w:name="_Toc19315"/>
      <w:bookmarkStart w:id="1338" w:name="_Toc26307"/>
      <w:bookmarkStart w:id="1339" w:name="_Toc28267"/>
      <w:bookmarkStart w:id="1340" w:name="_Toc8864"/>
      <w:bookmarkStart w:id="1341" w:name="_Toc6242"/>
      <w:bookmarkStart w:id="1342" w:name="_Toc16457"/>
      <w:bookmarkStart w:id="1343" w:name="_Toc29233"/>
      <w:bookmarkStart w:id="1344" w:name="_Toc28380"/>
      <w:bookmarkStart w:id="1345" w:name="_Toc335"/>
      <w:bookmarkStart w:id="1346" w:name="_Toc28700"/>
      <w:bookmarkStart w:id="1347" w:name="_Toc11255"/>
      <w:bookmarkStart w:id="1348" w:name="_Toc3821"/>
      <w:bookmarkStart w:id="1349" w:name="_Toc1823"/>
      <w:bookmarkStart w:id="1350" w:name="_Toc27164"/>
      <w:bookmarkStart w:id="1351" w:name="_Toc26626"/>
      <w:bookmarkStart w:id="1352" w:name="_Toc27894"/>
      <w:bookmarkStart w:id="1353" w:name="_Toc24176"/>
      <w:r>
        <w:rPr>
          <w:rFonts w:hint="eastAsia" w:ascii="仿宋" w:hAnsi="仿宋" w:eastAsia="仿宋" w:cs="仿宋"/>
          <w:b/>
          <w:bCs/>
          <w:color w:val="000000" w:themeColor="text1"/>
          <w14:textFill>
            <w14:solidFill>
              <w14:schemeClr w14:val="tx1"/>
            </w14:solidFill>
          </w14:textFill>
        </w:rPr>
        <w:t>2说明</w:t>
      </w:r>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p>
    <w:p w14:paraId="5B2FC1B2">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2.1投标方可以根据自身的技术、经验等优势以及对招标文件和本技术标书的理解，写明对招标方所采购货物的优化方案或建议意见。投标方的这些努力，招标方表示感谢，并将有助于投标方优先胜出。</w:t>
      </w:r>
    </w:p>
    <w:p w14:paraId="598BB88F">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2.2即使有建议意见或建议方案，仍应依据招标文件和本技术标书要求，编写符合要求的投标文件。建议方案或建议意见，应以单独篇章或文件，予以说明。</w:t>
      </w:r>
    </w:p>
    <w:p w14:paraId="556316D9">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2.3请投标方仔细阅读“采购货物概况”章节内说明，针对允许分投分中的货物，招标方有权利选择其中优秀设备或服务，作为投标方合同供货范围中的指定选用设备或服务（替代投标方分投而未中标部分）。</w:t>
      </w:r>
    </w:p>
    <w:p w14:paraId="7ABB890D">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2.4招标文件、投标文件、答疑文件、技术交流文件、技术协议书等，在招标过程全部为有效文件，如有差异，以对招标方或买方最有利的条款为准。</w:t>
      </w:r>
    </w:p>
    <w:p w14:paraId="0BE55FBB">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2.5本技术标书在“预验收和终验收”章节所列的招标方在合同签署后将成为买方，中标的投标方将成为卖方；为避免歧异，本技术标书在“预验收和终验收”之外的其它章节，均将潜在的卖方称为投标方、将买方称为招标方。</w:t>
      </w:r>
    </w:p>
    <w:p w14:paraId="64A6BEB3">
      <w:pPr>
        <w:snapToGrid w:val="0"/>
        <w:spacing w:line="360" w:lineRule="auto"/>
        <w:ind w:firstLine="420" w:firstLineChars="200"/>
        <w:rPr>
          <w:rFonts w:hint="eastAsia" w:ascii="仿宋" w:hAnsi="仿宋" w:eastAsia="仿宋" w:cs="仿宋"/>
        </w:rPr>
      </w:pPr>
      <w:r>
        <w:rPr>
          <w:rFonts w:hint="eastAsia" w:ascii="仿宋" w:hAnsi="仿宋" w:eastAsia="仿宋" w:cs="仿宋"/>
        </w:rPr>
        <w:br w:type="page"/>
      </w:r>
    </w:p>
    <w:p w14:paraId="094CF418">
      <w:pPr>
        <w:pStyle w:val="16"/>
        <w:rPr>
          <w:rFonts w:hint="eastAsia" w:ascii="仿宋" w:hAnsi="仿宋" w:eastAsia="仿宋" w:cs="仿宋"/>
        </w:rPr>
      </w:pPr>
    </w:p>
    <w:p w14:paraId="6CF958C9">
      <w:pPr>
        <w:spacing w:line="360" w:lineRule="auto"/>
        <w:jc w:val="center"/>
        <w:outlineLvl w:val="0"/>
        <w:rPr>
          <w:rFonts w:ascii="宋体" w:hAnsi="Calibri" w:eastAsia="宋体" w:cs="Times New Roman"/>
          <w:b/>
          <w:sz w:val="36"/>
          <w:szCs w:val="36"/>
        </w:rPr>
      </w:pPr>
      <w:bookmarkStart w:id="1354" w:name="_Toc28859"/>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354"/>
    </w:p>
    <w:p w14:paraId="532EBD29">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2E0249F2">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176E07F5">
      <w:pPr>
        <w:adjustRightInd w:val="0"/>
        <w:snapToGrid w:val="0"/>
        <w:spacing w:line="360" w:lineRule="auto"/>
        <w:jc w:val="left"/>
        <w:rPr>
          <w:rFonts w:ascii="宋体" w:hAnsi="宋体"/>
          <w:sz w:val="20"/>
          <w:szCs w:val="20"/>
        </w:rPr>
      </w:pPr>
    </w:p>
    <w:p w14:paraId="417400E8">
      <w:pPr>
        <w:adjustRightInd w:val="0"/>
        <w:snapToGrid w:val="0"/>
        <w:spacing w:line="360" w:lineRule="auto"/>
        <w:jc w:val="left"/>
        <w:rPr>
          <w:rFonts w:ascii="宋体" w:hAnsi="宋体"/>
          <w:sz w:val="20"/>
          <w:szCs w:val="20"/>
        </w:rPr>
      </w:pPr>
    </w:p>
    <w:p w14:paraId="4805AFA4">
      <w:pPr>
        <w:adjustRightInd w:val="0"/>
        <w:snapToGrid w:val="0"/>
        <w:spacing w:line="360" w:lineRule="auto"/>
        <w:jc w:val="left"/>
        <w:rPr>
          <w:rFonts w:ascii="宋体" w:hAnsi="宋体"/>
          <w:sz w:val="20"/>
          <w:szCs w:val="20"/>
        </w:rPr>
      </w:pPr>
    </w:p>
    <w:p w14:paraId="43393265">
      <w:pPr>
        <w:adjustRightInd w:val="0"/>
        <w:snapToGrid w:val="0"/>
        <w:spacing w:line="360" w:lineRule="auto"/>
        <w:jc w:val="left"/>
        <w:rPr>
          <w:rFonts w:ascii="宋体" w:hAnsi="宋体"/>
          <w:sz w:val="20"/>
          <w:szCs w:val="20"/>
        </w:rPr>
      </w:pPr>
    </w:p>
    <w:p w14:paraId="3C9A5D67">
      <w:pPr>
        <w:adjustRightInd w:val="0"/>
        <w:snapToGrid w:val="0"/>
        <w:spacing w:line="360" w:lineRule="auto"/>
        <w:jc w:val="center"/>
        <w:rPr>
          <w:rFonts w:ascii="方正小标宋简体" w:hAnsi="宋体" w:eastAsia="方正小标宋简体"/>
          <w:bCs/>
          <w:sz w:val="52"/>
          <w:szCs w:val="36"/>
        </w:rPr>
      </w:pPr>
    </w:p>
    <w:p w14:paraId="371A06F0">
      <w:pPr>
        <w:adjustRightInd w:val="0"/>
        <w:snapToGrid w:val="0"/>
        <w:spacing w:line="360" w:lineRule="auto"/>
        <w:jc w:val="center"/>
        <w:rPr>
          <w:rFonts w:ascii="方正小标宋简体" w:hAnsi="宋体" w:eastAsia="方正小标宋简体"/>
          <w:bCs/>
          <w:sz w:val="52"/>
          <w:szCs w:val="36"/>
        </w:rPr>
      </w:pPr>
    </w:p>
    <w:p w14:paraId="60E5684D">
      <w:pPr>
        <w:adjustRightInd w:val="0"/>
        <w:snapToGrid w:val="0"/>
        <w:spacing w:line="360" w:lineRule="auto"/>
        <w:jc w:val="center"/>
        <w:rPr>
          <w:rFonts w:ascii="方正小标宋简体" w:hAnsi="宋体" w:eastAsia="方正小标宋简体"/>
          <w:bCs/>
          <w:sz w:val="52"/>
          <w:szCs w:val="36"/>
        </w:rPr>
      </w:pPr>
      <w:r>
        <w:rPr>
          <w:rFonts w:hint="eastAsia" w:ascii="方正小标宋简体" w:hAnsi="宋体" w:eastAsia="方正小标宋简体"/>
          <w:bCs/>
          <w:sz w:val="52"/>
          <w:szCs w:val="36"/>
        </w:rPr>
        <w:t>设备采购合同（模板）</w:t>
      </w:r>
    </w:p>
    <w:p w14:paraId="20BA551E">
      <w:pPr>
        <w:pStyle w:val="16"/>
        <w:jc w:val="center"/>
      </w:pPr>
      <w:r>
        <w:rPr>
          <w:rFonts w:hint="eastAsia" w:hAnsi="宋体" w:eastAsia="宋体" w:cs="宋体"/>
          <w:b/>
          <w:sz w:val="24"/>
          <w:szCs w:val="24"/>
        </w:rPr>
        <w:t>（合同以双方最终签署的版本为准）</w:t>
      </w:r>
    </w:p>
    <w:p w14:paraId="79135DFF">
      <w:pPr>
        <w:adjustRightInd w:val="0"/>
        <w:snapToGrid w:val="0"/>
        <w:spacing w:line="360" w:lineRule="auto"/>
        <w:jc w:val="left"/>
        <w:rPr>
          <w:rFonts w:ascii="宋体" w:hAnsi="宋体"/>
          <w:b/>
          <w:sz w:val="36"/>
          <w:szCs w:val="36"/>
        </w:rPr>
      </w:pPr>
    </w:p>
    <w:p w14:paraId="2EAF3FA8">
      <w:pPr>
        <w:adjustRightInd w:val="0"/>
        <w:snapToGrid w:val="0"/>
        <w:spacing w:line="360" w:lineRule="auto"/>
        <w:jc w:val="left"/>
        <w:rPr>
          <w:rFonts w:ascii="宋体" w:hAnsi="宋体"/>
          <w:b/>
          <w:sz w:val="36"/>
          <w:szCs w:val="36"/>
        </w:rPr>
      </w:pPr>
    </w:p>
    <w:p w14:paraId="094DCED1">
      <w:pPr>
        <w:adjustRightInd w:val="0"/>
        <w:snapToGrid w:val="0"/>
        <w:spacing w:line="360" w:lineRule="auto"/>
        <w:jc w:val="left"/>
        <w:rPr>
          <w:rFonts w:ascii="宋体" w:hAnsi="宋体"/>
          <w:b/>
          <w:sz w:val="36"/>
          <w:szCs w:val="36"/>
        </w:rPr>
      </w:pPr>
    </w:p>
    <w:p w14:paraId="07033995">
      <w:pPr>
        <w:adjustRightInd w:val="0"/>
        <w:snapToGrid w:val="0"/>
        <w:spacing w:line="360" w:lineRule="auto"/>
        <w:jc w:val="left"/>
        <w:rPr>
          <w:rFonts w:ascii="宋体" w:hAnsi="宋体"/>
          <w:b/>
          <w:sz w:val="36"/>
          <w:szCs w:val="36"/>
        </w:rPr>
      </w:pPr>
    </w:p>
    <w:p w14:paraId="0605323E">
      <w:pPr>
        <w:adjustRightInd w:val="0"/>
        <w:snapToGrid w:val="0"/>
        <w:spacing w:line="360" w:lineRule="auto"/>
        <w:jc w:val="left"/>
        <w:rPr>
          <w:rFonts w:ascii="宋体" w:hAnsi="宋体"/>
          <w:b/>
          <w:sz w:val="36"/>
          <w:szCs w:val="36"/>
        </w:rPr>
      </w:pPr>
    </w:p>
    <w:p w14:paraId="35F08736">
      <w:pPr>
        <w:adjustRightInd w:val="0"/>
        <w:snapToGrid w:val="0"/>
        <w:spacing w:line="360" w:lineRule="auto"/>
        <w:jc w:val="left"/>
        <w:rPr>
          <w:rFonts w:ascii="宋体" w:hAnsi="宋体"/>
          <w:b/>
          <w:sz w:val="36"/>
          <w:szCs w:val="36"/>
        </w:rPr>
      </w:pPr>
    </w:p>
    <w:p w14:paraId="6AAF8ABE">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59DFC9C6">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14:paraId="49931C73">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00E3440E">
      <w:pPr>
        <w:spacing w:line="360" w:lineRule="auto"/>
        <w:ind w:right="480"/>
        <w:rPr>
          <w:rFonts w:ascii="宋体" w:hAnsi="宋体" w:cs="宋体"/>
          <w:bCs/>
          <w:sz w:val="24"/>
          <w:u w:val="single"/>
        </w:rPr>
      </w:pPr>
      <w:r>
        <w:rPr>
          <w:rFonts w:hint="eastAsia" w:ascii="宋体" w:hAnsi="宋体" w:cs="宋体"/>
          <w:bCs/>
          <w:sz w:val="24"/>
        </w:rPr>
        <w:t xml:space="preserve">                                       </w:t>
      </w:r>
    </w:p>
    <w:p w14:paraId="4A1D3618">
      <w:pPr>
        <w:spacing w:line="360" w:lineRule="auto"/>
        <w:rPr>
          <w:rFonts w:ascii="宋体" w:hAnsi="宋体" w:cs="宋体"/>
          <w:bCs/>
          <w:sz w:val="22"/>
        </w:rPr>
        <w:sectPr>
          <w:headerReference r:id="rId12" w:type="default"/>
          <w:footerReference r:id="rId13" w:type="default"/>
          <w:pgSz w:w="11907" w:h="16840"/>
          <w:pgMar w:top="1304" w:right="1418" w:bottom="1304" w:left="1418" w:header="724" w:footer="851" w:gutter="0"/>
          <w:pgBorders>
            <w:top w:val="none" w:sz="0" w:space="0"/>
            <w:left w:val="none" w:sz="0" w:space="0"/>
            <w:bottom w:val="none" w:sz="0" w:space="0"/>
            <w:right w:val="none" w:sz="0" w:space="0"/>
          </w:pgBorders>
          <w:cols w:space="720" w:num="1"/>
          <w:docGrid w:linePitch="290" w:charSpace="-3931"/>
        </w:sectPr>
      </w:pPr>
    </w:p>
    <w:p w14:paraId="6A6593A3">
      <w:pPr>
        <w:spacing w:line="360" w:lineRule="auto"/>
        <w:rPr>
          <w:rFonts w:ascii="仿宋_GB2312" w:hAnsi="宋体" w:eastAsia="仿宋_GB2312" w:cs="宋体"/>
          <w:bCs/>
          <w:sz w:val="24"/>
          <w:szCs w:val="24"/>
        </w:rPr>
      </w:pPr>
      <w:r>
        <w:rPr>
          <w:rFonts w:hint="eastAsia" w:ascii="宋体" w:hAnsi="宋体" w:cs="宋体"/>
          <w:bCs/>
          <w:sz w:val="22"/>
        </w:rPr>
        <w:t xml:space="preserve"> </w:t>
      </w:r>
      <w:bookmarkStart w:id="1355" w:name="_Toc29691"/>
      <w:r>
        <w:rPr>
          <w:rFonts w:hint="eastAsia" w:ascii="宋体" w:hAnsi="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633B78F5">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14:paraId="54CBA036">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5D20AD91">
      <w:pPr>
        <w:spacing w:line="360" w:lineRule="auto"/>
        <w:ind w:right="-189" w:rightChars="-90"/>
        <w:jc w:val="left"/>
        <w:rPr>
          <w:rFonts w:ascii="仿宋_GB2312" w:hAnsi="宋体" w:eastAsia="仿宋_GB2312" w:cs="宋体"/>
          <w:b/>
          <w:bCs/>
          <w:sz w:val="24"/>
          <w:szCs w:val="24"/>
          <w:u w:val="single"/>
        </w:rPr>
      </w:pPr>
    </w:p>
    <w:p w14:paraId="51DE058B">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14:paraId="77045325">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14:paraId="10FC8F54">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56" w:name="_Toc16330018"/>
      <w:bookmarkStart w:id="1357" w:name="_Toc11823"/>
      <w:bookmarkStart w:id="1358" w:name="_Toc11930"/>
      <w:bookmarkStart w:id="1359" w:name="_Toc17619"/>
      <w:r>
        <w:rPr>
          <w:rFonts w:hint="eastAsia" w:ascii="黑体" w:hAnsi="黑体" w:eastAsia="黑体" w:cstheme="minorEastAsia"/>
          <w:b w:val="0"/>
          <w:sz w:val="28"/>
          <w:szCs w:val="28"/>
        </w:rPr>
        <w:t>1 合同设备</w:t>
      </w:r>
      <w:bookmarkEnd w:id="1356"/>
      <w:bookmarkEnd w:id="1357"/>
      <w:bookmarkEnd w:id="1358"/>
      <w:bookmarkEnd w:id="1359"/>
    </w:p>
    <w:p w14:paraId="3F93C8C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14:paraId="19B35D93">
      <w:pPr>
        <w:spacing w:line="360" w:lineRule="auto"/>
        <w:ind w:firstLine="453" w:firstLineChars="189"/>
        <w:rPr>
          <w:rFonts w:ascii="仿宋_GB2312" w:eastAsia="仿宋_GB2312" w:hAnsiTheme="minorEastAsia" w:cstheme="minorEastAsia"/>
          <w:sz w:val="24"/>
          <w:szCs w:val="24"/>
        </w:rPr>
      </w:pPr>
      <w:bookmarkStart w:id="1360" w:name="_Toc22800"/>
      <w:bookmarkStart w:id="1361" w:name="_Toc32510"/>
      <w:bookmarkStart w:id="1362" w:name="_Toc29026"/>
      <w:r>
        <w:rPr>
          <w:rFonts w:hint="eastAsia" w:ascii="仿宋_GB2312" w:eastAsia="仿宋_GB2312" w:hAnsiTheme="minorEastAsia" w:cstheme="minorEastAsia"/>
          <w:sz w:val="24"/>
          <w:szCs w:val="24"/>
        </w:rPr>
        <w:t>1.2技术规格和标准</w:t>
      </w:r>
    </w:p>
    <w:p w14:paraId="784CC78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14:paraId="6C128B9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56B9C75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14:paraId="422CB1EA">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63" w:name="_Toc16330019"/>
      <w:r>
        <w:rPr>
          <w:rFonts w:hint="eastAsia" w:ascii="黑体" w:hAnsi="黑体" w:eastAsia="黑体" w:cstheme="minorEastAsia"/>
          <w:b w:val="0"/>
          <w:sz w:val="28"/>
          <w:szCs w:val="28"/>
        </w:rPr>
        <w:t>2 包装</w:t>
      </w:r>
      <w:bookmarkEnd w:id="1360"/>
      <w:bookmarkEnd w:id="1361"/>
      <w:bookmarkEnd w:id="1362"/>
      <w:bookmarkEnd w:id="1363"/>
    </w:p>
    <w:p w14:paraId="346AFE4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286AA70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14:paraId="26336A50">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64" w:name="_Toc27453"/>
      <w:bookmarkStart w:id="1365" w:name="_Toc27144"/>
      <w:bookmarkStart w:id="1366" w:name="_Toc16330020"/>
      <w:bookmarkStart w:id="1367" w:name="_Toc2833"/>
      <w:r>
        <w:rPr>
          <w:rFonts w:hint="eastAsia" w:ascii="黑体" w:hAnsi="黑体" w:eastAsia="黑体" w:cstheme="minorEastAsia"/>
          <w:b w:val="0"/>
          <w:sz w:val="28"/>
          <w:szCs w:val="28"/>
        </w:rPr>
        <w:t>3 运输标记</w:t>
      </w:r>
      <w:bookmarkEnd w:id="1364"/>
      <w:bookmarkEnd w:id="1365"/>
      <w:bookmarkEnd w:id="1366"/>
      <w:bookmarkEnd w:id="1367"/>
    </w:p>
    <w:p w14:paraId="05AD576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14:paraId="1CE47F6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14:paraId="032D5FB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14:paraId="278D914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14:paraId="2936C1D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14:paraId="724AEFB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14:paraId="52DC35B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14:paraId="0B0E304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1F26F28E">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68" w:name="_Toc16133"/>
      <w:bookmarkStart w:id="1369" w:name="_Toc7431"/>
      <w:bookmarkStart w:id="1370" w:name="_Toc16330021"/>
      <w:bookmarkStart w:id="1371" w:name="_Toc10630"/>
      <w:r>
        <w:rPr>
          <w:rFonts w:hint="eastAsia" w:ascii="黑体" w:hAnsi="黑体" w:eastAsia="黑体" w:cstheme="minorEastAsia"/>
          <w:b w:val="0"/>
          <w:sz w:val="28"/>
          <w:szCs w:val="28"/>
        </w:rPr>
        <w:t>4 检验</w:t>
      </w:r>
      <w:bookmarkEnd w:id="1368"/>
      <w:bookmarkEnd w:id="1369"/>
      <w:bookmarkEnd w:id="1370"/>
      <w:bookmarkEnd w:id="1371"/>
    </w:p>
    <w:p w14:paraId="64C01BD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11E1279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14:paraId="30C531C2">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72" w:name="_Toc24467"/>
      <w:bookmarkStart w:id="1373" w:name="_Toc16330022"/>
      <w:bookmarkStart w:id="1374" w:name="_Toc11217"/>
      <w:bookmarkStart w:id="1375" w:name="_Toc19850"/>
      <w:r>
        <w:rPr>
          <w:rFonts w:hint="eastAsia" w:ascii="黑体" w:hAnsi="黑体" w:eastAsia="黑体" w:cstheme="minorEastAsia"/>
          <w:b w:val="0"/>
          <w:sz w:val="28"/>
          <w:szCs w:val="28"/>
        </w:rPr>
        <w:t>5 权利担保</w:t>
      </w:r>
      <w:bookmarkEnd w:id="1372"/>
      <w:bookmarkEnd w:id="1373"/>
      <w:bookmarkEnd w:id="1374"/>
      <w:bookmarkEnd w:id="1375"/>
    </w:p>
    <w:p w14:paraId="223F62B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0E89E6D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14:paraId="05C3E9D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14:paraId="6FEAC8E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14:paraId="35EC297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2BAB5D90">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76" w:name="_Toc14809"/>
      <w:bookmarkStart w:id="1377" w:name="_Toc16330023"/>
      <w:bookmarkStart w:id="1378" w:name="_Toc27500"/>
      <w:bookmarkStart w:id="1379" w:name="_Toc11759"/>
      <w:r>
        <w:rPr>
          <w:rFonts w:hint="eastAsia" w:ascii="黑体" w:hAnsi="黑体" w:eastAsia="黑体" w:cstheme="minorEastAsia"/>
          <w:b w:val="0"/>
          <w:sz w:val="28"/>
          <w:szCs w:val="28"/>
        </w:rPr>
        <w:t>6 交货</w:t>
      </w:r>
      <w:bookmarkEnd w:id="1376"/>
      <w:bookmarkEnd w:id="1377"/>
      <w:bookmarkEnd w:id="1378"/>
      <w:bookmarkEnd w:id="1379"/>
    </w:p>
    <w:p w14:paraId="0436E54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4B708F3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14:paraId="3032DE9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780BB01D">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14:paraId="537E4D8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14:paraId="4F0B44B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44B5DEC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14:paraId="6135E64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14:paraId="7161001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14:paraId="29C9BF3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026C671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14:paraId="5F55C17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14:paraId="2B5AFF3E">
      <w:pPr>
        <w:spacing w:line="360" w:lineRule="auto"/>
        <w:ind w:firstLine="453" w:firstLineChars="189"/>
        <w:rPr>
          <w:rFonts w:asciiTheme="minorEastAsia" w:hAnsi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3E5BAFC3">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80" w:name="_Toc25510"/>
      <w:bookmarkStart w:id="1381" w:name="_Toc2984"/>
      <w:bookmarkStart w:id="1382" w:name="_Toc8024"/>
      <w:bookmarkStart w:id="1383" w:name="_Toc16330024"/>
      <w:r>
        <w:rPr>
          <w:rFonts w:hint="eastAsia" w:ascii="黑体" w:hAnsi="黑体" w:eastAsia="黑体" w:cstheme="minorEastAsia"/>
          <w:b w:val="0"/>
          <w:sz w:val="28"/>
          <w:szCs w:val="28"/>
        </w:rPr>
        <w:t>7 安装、调试</w:t>
      </w:r>
      <w:bookmarkEnd w:id="1380"/>
      <w:bookmarkEnd w:id="1381"/>
      <w:bookmarkEnd w:id="1382"/>
      <w:bookmarkEnd w:id="1383"/>
    </w:p>
    <w:p w14:paraId="60AC6F6D">
      <w:pPr>
        <w:pStyle w:val="12"/>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14:paraId="1D020EB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14:paraId="4DE4269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14:paraId="57DF95F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14:paraId="1005CB58">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14:paraId="778A368D">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84" w:name="_Toc16330025"/>
      <w:bookmarkStart w:id="1385" w:name="_Toc14098"/>
      <w:bookmarkStart w:id="1386" w:name="_Toc6350"/>
      <w:bookmarkStart w:id="1387" w:name="_Toc14260"/>
      <w:r>
        <w:rPr>
          <w:rFonts w:hint="eastAsia" w:ascii="黑体" w:hAnsi="黑体" w:eastAsia="黑体" w:cstheme="minorEastAsia"/>
          <w:b w:val="0"/>
          <w:sz w:val="28"/>
          <w:szCs w:val="28"/>
        </w:rPr>
        <w:t>8 价款与支付</w:t>
      </w:r>
      <w:bookmarkEnd w:id="1384"/>
      <w:bookmarkEnd w:id="1385"/>
      <w:bookmarkEnd w:id="1386"/>
      <w:bookmarkEnd w:id="1387"/>
    </w:p>
    <w:p w14:paraId="34C40CD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14:paraId="09187AF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14:paraId="22365F5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14:paraId="24CAD58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14:paraId="57E3976B">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8.3.1合同生效设备全部到齐无质量问题通过买方初步验收并到货后,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14:paraId="1F1E85DA">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14:paraId="1AD7080A">
      <w:pPr>
        <w:spacing w:line="360" w:lineRule="auto"/>
        <w:ind w:firstLine="453" w:firstLineChars="189"/>
        <w:rPr>
          <w:rFonts w:ascii="仿宋_GB2312" w:hAnsi="黑体" w:eastAsia="仿宋_GB2312" w:cstheme="minorEastAsia"/>
          <w:i/>
          <w:sz w:val="24"/>
          <w:szCs w:val="24"/>
        </w:rPr>
      </w:pPr>
      <w:bookmarkStart w:id="1388" w:name="_Toc14531628"/>
      <w:bookmarkStart w:id="1389" w:name="_Toc14676804"/>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bookmarkEnd w:id="1388"/>
      <w:bookmarkEnd w:id="1389"/>
    </w:p>
    <w:p w14:paraId="36F7B69A">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90" w:name="_Toc16330026"/>
      <w:bookmarkStart w:id="1391" w:name="_Toc6726"/>
      <w:bookmarkStart w:id="1392" w:name="_Toc25708"/>
      <w:bookmarkStart w:id="1393" w:name="_Toc24085"/>
      <w:r>
        <w:rPr>
          <w:rFonts w:hint="eastAsia" w:ascii="黑体" w:hAnsi="黑体" w:eastAsia="黑体" w:cstheme="minorEastAsia"/>
          <w:b w:val="0"/>
          <w:sz w:val="28"/>
          <w:szCs w:val="28"/>
        </w:rPr>
        <w:t>9 质量保证及售后服务</w:t>
      </w:r>
      <w:bookmarkEnd w:id="1390"/>
      <w:bookmarkEnd w:id="1391"/>
      <w:bookmarkEnd w:id="1392"/>
      <w:bookmarkEnd w:id="1393"/>
    </w:p>
    <w:p w14:paraId="742D0058">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44059638">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14:paraId="02DF49F1">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43F84B7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14:paraId="150855DA">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0EFB3B8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14:paraId="5C6B4F0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14:paraId="485CE9B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14:paraId="425A2EEE">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94" w:name="_Toc15570"/>
      <w:bookmarkStart w:id="1395" w:name="_Toc12927"/>
      <w:bookmarkStart w:id="1396" w:name="_Toc16330027"/>
      <w:bookmarkStart w:id="1397" w:name="_Toc10359"/>
      <w:r>
        <w:rPr>
          <w:rFonts w:hint="eastAsia" w:ascii="黑体" w:hAnsi="黑体" w:eastAsia="黑体" w:cstheme="minorEastAsia"/>
          <w:b w:val="0"/>
          <w:sz w:val="28"/>
          <w:szCs w:val="28"/>
        </w:rPr>
        <w:t>10法定责任</w:t>
      </w:r>
      <w:bookmarkEnd w:id="1394"/>
      <w:bookmarkEnd w:id="1395"/>
      <w:bookmarkEnd w:id="1396"/>
      <w:bookmarkEnd w:id="1397"/>
    </w:p>
    <w:p w14:paraId="1963E16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14:paraId="07A6F4E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14:paraId="069374F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442162DB">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14:paraId="1B75DA5A">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98" w:name="_Toc30381"/>
      <w:bookmarkStart w:id="1399" w:name="_Toc27314"/>
      <w:bookmarkStart w:id="1400" w:name="_Toc9708"/>
      <w:bookmarkStart w:id="1401" w:name="_Toc16330028"/>
      <w:r>
        <w:rPr>
          <w:rFonts w:hint="eastAsia" w:ascii="黑体" w:hAnsi="黑体" w:eastAsia="黑体" w:cstheme="minorEastAsia"/>
          <w:b w:val="0"/>
          <w:sz w:val="28"/>
          <w:szCs w:val="28"/>
        </w:rPr>
        <w:t>11 违约责任</w:t>
      </w:r>
      <w:bookmarkEnd w:id="1398"/>
      <w:bookmarkEnd w:id="1399"/>
      <w:bookmarkEnd w:id="1400"/>
      <w:bookmarkEnd w:id="1401"/>
    </w:p>
    <w:p w14:paraId="74AA5BD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343DF4A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7594BE9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14:paraId="7E7DA10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33F0F7A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68915F8F">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14:paraId="6EB2DAF5">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1AF5DB33">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14:paraId="3D8473E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14:paraId="1514BA3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14:paraId="16FB7E25">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14:paraId="6CB3C56D">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402" w:name="_Toc16330029"/>
      <w:bookmarkStart w:id="1403" w:name="_Toc31554"/>
      <w:bookmarkStart w:id="1404" w:name="_Toc1827"/>
      <w:bookmarkStart w:id="1405" w:name="_Toc9172"/>
      <w:r>
        <w:rPr>
          <w:rFonts w:hint="eastAsia" w:ascii="黑体" w:hAnsi="黑体" w:eastAsia="黑体" w:cstheme="minorEastAsia"/>
          <w:b w:val="0"/>
          <w:sz w:val="28"/>
          <w:szCs w:val="28"/>
        </w:rPr>
        <w:t>12 合同的终止与解除</w:t>
      </w:r>
      <w:bookmarkEnd w:id="1402"/>
      <w:bookmarkEnd w:id="1403"/>
      <w:bookmarkEnd w:id="1404"/>
      <w:bookmarkEnd w:id="1405"/>
    </w:p>
    <w:p w14:paraId="5548CD5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14:paraId="0741CEB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14:paraId="3EB67559">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12.3有下列情形之一的，买方可以解除本合同：</w:t>
      </w:r>
    </w:p>
    <w:p w14:paraId="5E10AC3C">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12.3.1卖方明确表示或者以自己的行为表明不履行主要义务的；</w:t>
      </w:r>
    </w:p>
    <w:p w14:paraId="18D2F65F">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12.3.2卖方所提交的设备不符合本合同的规定；</w:t>
      </w:r>
    </w:p>
    <w:p w14:paraId="405FA0F9">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12.3.3卖方发生本合同约定的解除情形的；</w:t>
      </w:r>
    </w:p>
    <w:p w14:paraId="74175D93">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14:paraId="489D7221">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14:paraId="4913141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14:paraId="3CF9C4B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14:paraId="3E70439D">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14:paraId="586DE77E">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406" w:name="_Toc16330030"/>
      <w:bookmarkStart w:id="1407" w:name="_Toc13671"/>
      <w:bookmarkStart w:id="1408" w:name="_Toc8620"/>
      <w:bookmarkStart w:id="1409" w:name="_Toc31945"/>
      <w:r>
        <w:rPr>
          <w:rFonts w:hint="eastAsia" w:ascii="黑体" w:hAnsi="黑体" w:eastAsia="黑体" w:cstheme="minorEastAsia"/>
          <w:b w:val="0"/>
          <w:sz w:val="28"/>
          <w:szCs w:val="28"/>
        </w:rPr>
        <w:t>13 不可抗力</w:t>
      </w:r>
      <w:bookmarkEnd w:id="1406"/>
      <w:bookmarkEnd w:id="1407"/>
      <w:bookmarkEnd w:id="1408"/>
      <w:bookmarkEnd w:id="1409"/>
    </w:p>
    <w:p w14:paraId="0631EE3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0DE2964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14:paraId="16103285">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410" w:name="_Toc30389"/>
      <w:bookmarkStart w:id="1411" w:name="_Toc16330031"/>
      <w:bookmarkStart w:id="1412" w:name="_Toc637"/>
      <w:bookmarkStart w:id="1413" w:name="_Toc31243"/>
      <w:r>
        <w:rPr>
          <w:rFonts w:hint="eastAsia" w:ascii="黑体" w:hAnsi="黑体" w:eastAsia="黑体" w:cstheme="minorEastAsia"/>
          <w:b w:val="0"/>
          <w:sz w:val="28"/>
          <w:szCs w:val="28"/>
        </w:rPr>
        <w:t>14 通讯</w:t>
      </w:r>
      <w:bookmarkEnd w:id="1410"/>
      <w:bookmarkEnd w:id="1411"/>
      <w:bookmarkEnd w:id="1412"/>
      <w:bookmarkEnd w:id="1413"/>
    </w:p>
    <w:p w14:paraId="63849BA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14:paraId="503CE00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14:paraId="031D502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14:paraId="0B73F2D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14:paraId="252B59F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14:paraId="288C83D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14:paraId="64D55AA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14:paraId="7A2C4DA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14:paraId="41BF0B2E">
      <w:pPr>
        <w:pStyle w:val="5"/>
        <w:tabs>
          <w:tab w:val="right" w:leader="dot" w:pos="9061"/>
        </w:tabs>
        <w:spacing w:before="312" w:beforeLines="100"/>
        <w:rPr>
          <w:rFonts w:ascii="黑体" w:hAnsi="黑体" w:eastAsia="黑体" w:cstheme="minorEastAsia"/>
          <w:b w:val="0"/>
          <w:sz w:val="28"/>
          <w:szCs w:val="28"/>
        </w:rPr>
      </w:pPr>
      <w:bookmarkStart w:id="1414" w:name="_Toc16330032"/>
      <w:bookmarkStart w:id="1415" w:name="_Toc9915"/>
      <w:bookmarkStart w:id="1416" w:name="_Toc11290"/>
      <w:bookmarkStart w:id="1417" w:name="_Toc12984"/>
      <w:r>
        <w:rPr>
          <w:rFonts w:hint="eastAsia" w:ascii="黑体" w:hAnsi="黑体" w:eastAsia="黑体" w:cstheme="minorEastAsia"/>
          <w:b w:val="0"/>
          <w:sz w:val="28"/>
          <w:szCs w:val="28"/>
        </w:rPr>
        <w:t>15 适用法律及争议解决</w:t>
      </w:r>
      <w:bookmarkEnd w:id="1414"/>
      <w:bookmarkEnd w:id="1415"/>
      <w:bookmarkEnd w:id="1416"/>
      <w:bookmarkEnd w:id="1417"/>
    </w:p>
    <w:p w14:paraId="6EA301F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14:paraId="7348A27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6410D8B1">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418" w:name="_Toc23765"/>
      <w:bookmarkStart w:id="1419" w:name="_Toc16330033"/>
      <w:bookmarkStart w:id="1420" w:name="_Toc23906"/>
      <w:bookmarkStart w:id="1421" w:name="_Toc18207"/>
      <w:r>
        <w:rPr>
          <w:rFonts w:hint="eastAsia" w:ascii="黑体" w:hAnsi="黑体" w:eastAsia="黑体" w:cstheme="minorEastAsia"/>
          <w:b w:val="0"/>
          <w:sz w:val="28"/>
          <w:szCs w:val="28"/>
        </w:rPr>
        <w:t>16 附件</w:t>
      </w:r>
      <w:bookmarkEnd w:id="1418"/>
      <w:bookmarkEnd w:id="1419"/>
      <w:bookmarkEnd w:id="1420"/>
      <w:bookmarkEnd w:id="1421"/>
    </w:p>
    <w:p w14:paraId="0DA0864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14:paraId="454AC33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14:paraId="67F0FB2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14:paraId="57E6185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14:paraId="0A9779B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14:paraId="701CED4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14:paraId="593D48EE">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422" w:name="_Toc17656"/>
      <w:bookmarkStart w:id="1423" w:name="_Toc27202"/>
      <w:bookmarkStart w:id="1424" w:name="_Toc16330034"/>
      <w:bookmarkStart w:id="1425" w:name="_Toc31331"/>
      <w:r>
        <w:rPr>
          <w:rFonts w:hint="eastAsia" w:ascii="黑体" w:hAnsi="黑体" w:eastAsia="黑体" w:cstheme="minorEastAsia"/>
          <w:b w:val="0"/>
          <w:sz w:val="28"/>
          <w:szCs w:val="28"/>
        </w:rPr>
        <w:t>17 其他规定</w:t>
      </w:r>
      <w:bookmarkEnd w:id="1422"/>
      <w:bookmarkEnd w:id="1423"/>
      <w:bookmarkEnd w:id="1424"/>
      <w:bookmarkEnd w:id="1425"/>
    </w:p>
    <w:p w14:paraId="0A57C5C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14:paraId="1827EDB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14:paraId="3DA5635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3ABEB5E2">
      <w:pPr>
        <w:spacing w:line="360" w:lineRule="auto"/>
        <w:ind w:firstLine="453" w:firstLineChars="189"/>
        <w:rPr>
          <w:rFonts w:ascii="仿宋_GB2312" w:eastAsia="仿宋_GB2312" w:hAnsiTheme="minorEastAsia" w:cstheme="minorEastAsia"/>
          <w:sz w:val="24"/>
          <w:szCs w:val="24"/>
        </w:rPr>
      </w:pPr>
      <w:bookmarkStart w:id="1426" w:name="_Toc29136"/>
      <w:bookmarkStart w:id="1427" w:name="_Toc19077"/>
      <w:bookmarkStart w:id="1428" w:name="_Toc16330035"/>
      <w:bookmarkStart w:id="1429" w:name="_Toc17952"/>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14:paraId="256798B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01AADC8E">
      <w:pPr>
        <w:pStyle w:val="5"/>
        <w:tabs>
          <w:tab w:val="right" w:leader="dot" w:pos="9061"/>
        </w:tabs>
        <w:spacing w:before="312"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18 签署事项</w:t>
      </w:r>
      <w:bookmarkEnd w:id="1426"/>
      <w:bookmarkEnd w:id="1427"/>
      <w:bookmarkEnd w:id="1428"/>
      <w:bookmarkEnd w:id="1429"/>
    </w:p>
    <w:p w14:paraId="2183B25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14:paraId="660E2BD9">
      <w:pPr>
        <w:spacing w:line="360" w:lineRule="auto"/>
        <w:ind w:firstLine="455" w:firstLineChars="189"/>
        <w:rPr>
          <w:rFonts w:ascii="仿宋_GB2312" w:eastAsia="仿宋_GB2312" w:hAnsiTheme="minorEastAsia" w:cstheme="minorEastAsia"/>
          <w:b/>
          <w:sz w:val="24"/>
          <w:szCs w:val="24"/>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174A853A">
      <w:pPr>
        <w:spacing w:line="360" w:lineRule="auto"/>
        <w:ind w:firstLine="455" w:firstLineChars="189"/>
        <w:rPr>
          <w:rFonts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3FA5103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14:paraId="4214971D">
      <w:pPr>
        <w:spacing w:line="360" w:lineRule="auto"/>
        <w:ind w:firstLine="420" w:firstLineChars="200"/>
        <w:rPr>
          <w:rFonts w:asciiTheme="minorEastAsia" w:hAnsiTheme="minorEastAsia" w:cstheme="minorEastAsia"/>
          <w:sz w:val="20"/>
          <w:szCs w:val="20"/>
        </w:rPr>
      </w:pPr>
      <w:r>
        <w:rPr>
          <w:rFonts w:hint="eastAsia"/>
        </w:rPr>
        <w:t xml:space="preserve">    </w:t>
      </w:r>
    </w:p>
    <w:p w14:paraId="3533F630">
      <w:pPr>
        <w:spacing w:line="360" w:lineRule="auto"/>
        <w:rPr>
          <w:rFonts w:ascii="宋体" w:hAnsi="宋体"/>
          <w:snapToGrid w:val="0"/>
          <w:kern w:val="0"/>
          <w:sz w:val="20"/>
          <w:szCs w:val="20"/>
          <w:lang w:eastAsia="zh-Hans"/>
        </w:rPr>
      </w:pPr>
    </w:p>
    <w:p w14:paraId="6E9C060C">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14:paraId="53649EF3">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14:paraId="4382C776">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14:paraId="214C108E">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14:paraId="4E0A18DC">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14:paraId="7D835F91">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14:paraId="75381B1D">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14:paraId="12880964">
      <w:pPr>
        <w:spacing w:line="360" w:lineRule="auto"/>
        <w:rPr>
          <w:rFonts w:ascii="仿宋_GB2312" w:eastAsia="仿宋_GB2312"/>
          <w:sz w:val="24"/>
          <w:szCs w:val="24"/>
        </w:rPr>
      </w:pPr>
    </w:p>
    <w:p w14:paraId="3A544595">
      <w:pPr>
        <w:pStyle w:val="5"/>
        <w:tabs>
          <w:tab w:val="right" w:leader="dot" w:pos="9061"/>
        </w:tabs>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5BD820E8"/>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36E64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8" w:hRule="atLeast"/>
          <w:jc w:val="center"/>
        </w:trPr>
        <w:tc>
          <w:tcPr>
            <w:tcW w:w="989" w:type="dxa"/>
            <w:vAlign w:val="center"/>
          </w:tcPr>
          <w:p w14:paraId="0CB3C8A7">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78F1AF92">
            <w:pPr>
              <w:pStyle w:val="25"/>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60D99C77">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1CCCD649">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10FC2119">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359CA8CC">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0A057321">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41C7D223">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5D2149D3">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73453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3072A16">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623F18C0">
            <w:pPr>
              <w:pStyle w:val="25"/>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5F152C85">
            <w:pPr>
              <w:pStyle w:val="25"/>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7D37FF80">
            <w:pPr>
              <w:pStyle w:val="25"/>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1BD6FF1D">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B6F6D8C">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427B7C7">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12185F3">
            <w:pPr>
              <w:pStyle w:val="25"/>
              <w:spacing w:line="360" w:lineRule="auto"/>
              <w:ind w:left="480" w:hanging="480"/>
              <w:jc w:val="center"/>
              <w:rPr>
                <w:rFonts w:ascii="仿宋_GB2312" w:eastAsia="仿宋_GB2312" w:hAnsiTheme="minorEastAsia" w:cstheme="minorEastAsia"/>
                <w:sz w:val="24"/>
                <w:szCs w:val="24"/>
              </w:rPr>
            </w:pPr>
          </w:p>
        </w:tc>
      </w:tr>
      <w:tr w14:paraId="2FB8F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5" w:hRule="atLeast"/>
          <w:jc w:val="center"/>
        </w:trPr>
        <w:tc>
          <w:tcPr>
            <w:tcW w:w="989" w:type="dxa"/>
            <w:vAlign w:val="center"/>
          </w:tcPr>
          <w:p w14:paraId="30D2D837">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457EAAB6">
            <w:pPr>
              <w:pStyle w:val="25"/>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4DBE9CAE">
            <w:pPr>
              <w:pStyle w:val="25"/>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6BE1E814">
            <w:pPr>
              <w:pStyle w:val="25"/>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100F6CBA">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3766429">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A6DCC20">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EBBFBA5">
            <w:pPr>
              <w:pStyle w:val="25"/>
              <w:spacing w:line="360" w:lineRule="auto"/>
              <w:ind w:left="480" w:hanging="480"/>
              <w:jc w:val="center"/>
              <w:rPr>
                <w:rFonts w:ascii="仿宋_GB2312" w:eastAsia="仿宋_GB2312" w:hAnsiTheme="minorEastAsia" w:cstheme="minorEastAsia"/>
                <w:sz w:val="24"/>
                <w:szCs w:val="24"/>
              </w:rPr>
            </w:pPr>
          </w:p>
        </w:tc>
      </w:tr>
      <w:tr w14:paraId="674A7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5" w:hRule="atLeast"/>
          <w:jc w:val="center"/>
        </w:trPr>
        <w:tc>
          <w:tcPr>
            <w:tcW w:w="989" w:type="dxa"/>
            <w:vAlign w:val="center"/>
          </w:tcPr>
          <w:p w14:paraId="64C3CE5D">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297BFC13">
            <w:pPr>
              <w:pStyle w:val="25"/>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49E05A0F">
            <w:pPr>
              <w:pStyle w:val="25"/>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67F2240D">
            <w:pPr>
              <w:pStyle w:val="25"/>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14EE0304">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10AB5501">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8AB1720">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2EDF804F">
            <w:pPr>
              <w:pStyle w:val="25"/>
              <w:spacing w:line="360" w:lineRule="auto"/>
              <w:ind w:left="480" w:hanging="480"/>
              <w:jc w:val="center"/>
              <w:rPr>
                <w:rFonts w:ascii="仿宋_GB2312" w:eastAsia="仿宋_GB2312" w:hAnsiTheme="minorEastAsia" w:cstheme="minorEastAsia"/>
                <w:sz w:val="24"/>
                <w:szCs w:val="24"/>
              </w:rPr>
            </w:pPr>
          </w:p>
        </w:tc>
      </w:tr>
      <w:tr w14:paraId="5B1D6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2A16AC0B">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504788C0">
            <w:pPr>
              <w:pStyle w:val="25"/>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574B89D2">
            <w:pPr>
              <w:pStyle w:val="25"/>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58FC436F">
            <w:pPr>
              <w:pStyle w:val="25"/>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79DA3573">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AC7B7CE">
            <w:pPr>
              <w:spacing w:line="360" w:lineRule="auto"/>
              <w:jc w:val="center"/>
              <w:rPr>
                <w:rFonts w:ascii="仿宋_GB2312" w:eastAsia="仿宋_GB2312" w:hAnsiTheme="minorEastAsia" w:cstheme="minorEastAsia"/>
                <w:sz w:val="24"/>
                <w:szCs w:val="24"/>
              </w:rPr>
            </w:pPr>
          </w:p>
        </w:tc>
        <w:tc>
          <w:tcPr>
            <w:tcW w:w="708" w:type="dxa"/>
            <w:vAlign w:val="center"/>
          </w:tcPr>
          <w:p w14:paraId="481324D3">
            <w:pPr>
              <w:spacing w:line="360" w:lineRule="auto"/>
              <w:jc w:val="center"/>
              <w:rPr>
                <w:rFonts w:ascii="仿宋_GB2312" w:eastAsia="仿宋_GB2312" w:hAnsiTheme="minorEastAsia" w:cstheme="minorEastAsia"/>
                <w:sz w:val="24"/>
                <w:szCs w:val="24"/>
              </w:rPr>
            </w:pPr>
          </w:p>
        </w:tc>
        <w:tc>
          <w:tcPr>
            <w:tcW w:w="708" w:type="dxa"/>
            <w:vAlign w:val="center"/>
          </w:tcPr>
          <w:p w14:paraId="435C0108">
            <w:pPr>
              <w:spacing w:line="360" w:lineRule="auto"/>
              <w:jc w:val="center"/>
              <w:rPr>
                <w:rFonts w:ascii="仿宋_GB2312" w:eastAsia="仿宋_GB2312" w:hAnsiTheme="minorEastAsia" w:cstheme="minorEastAsia"/>
                <w:sz w:val="24"/>
                <w:szCs w:val="24"/>
              </w:rPr>
            </w:pPr>
          </w:p>
        </w:tc>
      </w:tr>
    </w:tbl>
    <w:p w14:paraId="1AFA26FF">
      <w:pPr>
        <w:rPr>
          <w:rFonts w:asciiTheme="minorEastAsia" w:hAnsiTheme="minorEastAsia" w:cstheme="minorEastAsia"/>
          <w:sz w:val="20"/>
          <w:szCs w:val="20"/>
        </w:rPr>
      </w:pPr>
      <w:bookmarkStart w:id="1430" w:name="_Toc3778"/>
      <w:bookmarkStart w:id="1431" w:name="_Toc24623"/>
      <w:bookmarkStart w:id="1432" w:name="_Toc5379"/>
      <w:bookmarkStart w:id="1433" w:name="_Toc25120"/>
      <w:bookmarkStart w:id="1434" w:name="_Toc16330037"/>
      <w:r>
        <w:rPr>
          <w:rFonts w:hint="eastAsia" w:asciiTheme="minorEastAsia" w:hAnsiTheme="minorEastAsia" w:cstheme="minorEastAsia"/>
          <w:sz w:val="20"/>
          <w:szCs w:val="20"/>
        </w:rPr>
        <w:br w:type="page"/>
      </w:r>
    </w:p>
    <w:p w14:paraId="2F45A34B">
      <w:pPr>
        <w:pStyle w:val="5"/>
        <w:tabs>
          <w:tab w:val="right" w:leader="dot" w:pos="9061"/>
        </w:tabs>
        <w:rPr>
          <w:rFonts w:ascii="黑体" w:hAnsi="黑体" w:eastAsia="黑体" w:cstheme="minorEastAsia"/>
          <w:b w:val="0"/>
          <w:i/>
          <w:sz w:val="28"/>
          <w:szCs w:val="28"/>
        </w:rPr>
      </w:pPr>
      <w:r>
        <w:rPr>
          <w:rFonts w:hint="eastAsia" w:ascii="黑体" w:hAnsi="黑体" w:eastAsia="黑体" w:cstheme="minorEastAsia"/>
          <w:b w:val="0"/>
          <w:sz w:val="28"/>
          <w:szCs w:val="28"/>
        </w:rPr>
        <w:t xml:space="preserve">附件二 </w:t>
      </w:r>
      <w:bookmarkEnd w:id="1430"/>
      <w:bookmarkEnd w:id="1431"/>
      <w:bookmarkEnd w:id="1432"/>
      <w:bookmarkEnd w:id="1433"/>
      <w:bookmarkEnd w:id="1434"/>
      <w:r>
        <w:rPr>
          <w:rFonts w:hint="eastAsia" w:ascii="黑体" w:hAnsi="黑体" w:eastAsia="黑体" w:cstheme="minorEastAsia"/>
          <w:b w:val="0"/>
          <w:sz w:val="28"/>
          <w:szCs w:val="28"/>
        </w:rPr>
        <w:t>技术协议书</w:t>
      </w:r>
    </w:p>
    <w:p w14:paraId="71A87B74">
      <w:pPr>
        <w:ind w:right="360"/>
        <w:rPr>
          <w:rFonts w:asciiTheme="minorEastAsia" w:hAnsiTheme="minorEastAsia" w:cstheme="minorEastAsia"/>
          <w:sz w:val="20"/>
          <w:szCs w:val="20"/>
        </w:rPr>
      </w:pPr>
    </w:p>
    <w:p w14:paraId="4F3E4E30">
      <w:pPr>
        <w:jc w:val="right"/>
        <w:rPr>
          <w:rFonts w:asciiTheme="minorEastAsia" w:hAnsiTheme="minorEastAsia" w:cstheme="minorEastAsia"/>
          <w:sz w:val="20"/>
          <w:szCs w:val="20"/>
        </w:rPr>
      </w:pPr>
    </w:p>
    <w:p w14:paraId="444564D0">
      <w:pPr>
        <w:jc w:val="right"/>
        <w:rPr>
          <w:rFonts w:asciiTheme="minorEastAsia" w:hAnsiTheme="minorEastAsia" w:cstheme="minorEastAsia"/>
          <w:sz w:val="20"/>
          <w:szCs w:val="20"/>
        </w:rPr>
      </w:pPr>
    </w:p>
    <w:p w14:paraId="571F4F68">
      <w:pPr>
        <w:jc w:val="right"/>
        <w:rPr>
          <w:rFonts w:asciiTheme="minorEastAsia" w:hAnsiTheme="minorEastAsia" w:cstheme="minorEastAsia"/>
          <w:sz w:val="20"/>
          <w:szCs w:val="20"/>
        </w:rPr>
      </w:pPr>
      <w:r>
        <w:rPr>
          <w:rFonts w:hint="eastAsia" w:asciiTheme="minorEastAsia" w:hAnsiTheme="minorEastAsia" w:cstheme="minorEastAsia"/>
          <w:sz w:val="20"/>
          <w:szCs w:val="20"/>
        </w:rPr>
        <w:t xml:space="preserve">                                      </w:t>
      </w:r>
    </w:p>
    <w:p w14:paraId="4FE71ECA">
      <w:pPr>
        <w:jc w:val="right"/>
        <w:rPr>
          <w:rFonts w:asciiTheme="minorEastAsia" w:hAnsiTheme="minorEastAsia" w:cstheme="minorEastAsia"/>
          <w:sz w:val="20"/>
          <w:szCs w:val="20"/>
        </w:rPr>
      </w:pPr>
    </w:p>
    <w:p w14:paraId="29694EE5">
      <w:pPr>
        <w:wordWrap w:val="0"/>
        <w:ind w:right="480"/>
        <w:rPr>
          <w:rFonts w:asciiTheme="minorEastAsia" w:hAnsiTheme="minorEastAsia" w:cstheme="minorEastAsia"/>
          <w:sz w:val="20"/>
          <w:szCs w:val="20"/>
        </w:rPr>
      </w:pPr>
    </w:p>
    <w:p w14:paraId="402A29FE">
      <w:pPr>
        <w:jc w:val="right"/>
        <w:rPr>
          <w:rFonts w:ascii="楷体_GB2312" w:hAnsi="宋体" w:eastAsia="楷体_GB2312"/>
          <w:sz w:val="24"/>
        </w:rPr>
      </w:pPr>
      <w:bookmarkStart w:id="1435" w:name="_Toc14341849"/>
    </w:p>
    <w:p w14:paraId="3A358168">
      <w:pPr>
        <w:ind w:right="480"/>
        <w:jc w:val="center"/>
        <w:rPr>
          <w:sz w:val="24"/>
          <w:szCs w:val="24"/>
        </w:rPr>
      </w:pPr>
      <w:r>
        <w:rPr>
          <w:rFonts w:hint="eastAsia" w:ascii="楷体_GB2312" w:hAnsi="宋体" w:eastAsia="楷体_GB2312"/>
          <w:sz w:val="24"/>
        </w:rPr>
        <w:t xml:space="preserve">                                    </w:t>
      </w:r>
    </w:p>
    <w:bookmarkEnd w:id="1435"/>
    <w:p w14:paraId="28B44C8C">
      <w:pPr>
        <w:rPr>
          <w:rFonts w:ascii="方正小标宋简体" w:hAnsi="方正小标宋简体" w:eastAsia="方正小标宋简体" w:cs="方正小标宋简体"/>
          <w:sz w:val="40"/>
          <w:szCs w:val="21"/>
        </w:rPr>
      </w:pPr>
      <w:r>
        <w:rPr>
          <w:rFonts w:hint="eastAsia" w:ascii="方正小标宋简体" w:hAnsi="方正小标宋简体" w:eastAsia="方正小标宋简体" w:cs="方正小标宋简体"/>
          <w:sz w:val="40"/>
          <w:szCs w:val="21"/>
        </w:rPr>
        <w:br w:type="page"/>
      </w:r>
    </w:p>
    <w:p w14:paraId="77AD69B6">
      <w:pPr>
        <w:spacing w:before="118"/>
        <w:ind w:right="30"/>
        <w:jc w:val="center"/>
        <w:outlineLvl w:val="0"/>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14:paraId="4298F9D5">
      <w:pPr>
        <w:pStyle w:val="2"/>
        <w:spacing w:before="8" w:after="156"/>
        <w:rPr>
          <w:rFonts w:ascii="楷体" w:hAnsi="楷体" w:eastAsia="楷体" w:cs="楷体"/>
          <w:sz w:val="44"/>
          <w:szCs w:val="28"/>
        </w:rPr>
      </w:pPr>
    </w:p>
    <w:p w14:paraId="6202780B">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3D1079AD">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243EAF06">
      <w:pPr>
        <w:pStyle w:val="127"/>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57260921">
      <w:pPr>
        <w:pStyle w:val="127"/>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7AC0A14F">
      <w:pPr>
        <w:pStyle w:val="127"/>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48EFD4A8">
      <w:pPr>
        <w:pStyle w:val="127"/>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14:paraId="6C5BD913">
      <w:pPr>
        <w:pStyle w:val="127"/>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14:paraId="19FD79BA">
      <w:pPr>
        <w:pStyle w:val="127"/>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14:paraId="6D204E91">
      <w:pPr>
        <w:pStyle w:val="127"/>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14:paraId="740B83E7">
      <w:pPr>
        <w:pStyle w:val="127"/>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14:paraId="7EA7DE2B">
      <w:pPr>
        <w:pStyle w:val="127"/>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14:paraId="272FF431">
      <w:pPr>
        <w:pStyle w:val="127"/>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14:paraId="01E6DFBC">
      <w:pPr>
        <w:pStyle w:val="127"/>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04FF6AF7">
      <w:pPr>
        <w:pStyle w:val="127"/>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14:paraId="1EC8CBB8">
      <w:pPr>
        <w:pStyle w:val="127"/>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14:paraId="6352ED4E">
      <w:pPr>
        <w:pStyle w:val="127"/>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5AB35413">
      <w:pPr>
        <w:pStyle w:val="127"/>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0F5063E0">
      <w:pPr>
        <w:pStyle w:val="127"/>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纪委监察部门检举并提供证据。</w:t>
      </w:r>
    </w:p>
    <w:p w14:paraId="0A5EDCB8">
      <w:pPr>
        <w:pStyle w:val="127"/>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16ABF22F">
      <w:pPr>
        <w:pStyle w:val="127"/>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7215F0E1">
      <w:pPr>
        <w:pStyle w:val="127"/>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3B38FF88">
      <w:pPr>
        <w:pStyle w:val="127"/>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14:paraId="1E2F7BBC">
      <w:pPr>
        <w:pStyle w:val="127"/>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4AF5788B">
      <w:pPr>
        <w:pStyle w:val="127"/>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5CF47369">
      <w:pPr>
        <w:pStyle w:val="127"/>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600B0148">
      <w:pPr>
        <w:pStyle w:val="127"/>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539DDF12">
      <w:pPr>
        <w:pStyle w:val="127"/>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6B5A5393">
      <w:pPr>
        <w:pStyle w:val="2"/>
        <w:spacing w:before="9" w:after="156"/>
        <w:rPr>
          <w:rFonts w:ascii="楷体" w:hAnsi="楷体" w:eastAsia="楷体" w:cs="楷体"/>
          <w:sz w:val="40"/>
          <w:szCs w:val="28"/>
        </w:rPr>
      </w:pPr>
    </w:p>
    <w:p w14:paraId="25FE9E2F">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67C261AC">
      <w:pPr>
        <w:pStyle w:val="2"/>
        <w:spacing w:after="156"/>
        <w:rPr>
          <w:rFonts w:ascii="楷体" w:hAnsi="楷体" w:eastAsia="楷体" w:cs="楷体"/>
          <w:b/>
          <w:sz w:val="24"/>
          <w:szCs w:val="28"/>
        </w:rPr>
      </w:pPr>
    </w:p>
    <w:p w14:paraId="68E44998">
      <w:pPr>
        <w:pStyle w:val="2"/>
        <w:spacing w:before="1" w:after="156"/>
        <w:rPr>
          <w:rFonts w:ascii="楷体" w:hAnsi="楷体" w:eastAsia="楷体" w:cs="楷体"/>
          <w:b/>
          <w:sz w:val="24"/>
          <w:szCs w:val="28"/>
        </w:rPr>
      </w:pPr>
    </w:p>
    <w:p w14:paraId="2D9BE410">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02CAE218">
      <w:pPr>
        <w:pStyle w:val="2"/>
        <w:spacing w:after="156"/>
        <w:rPr>
          <w:rFonts w:ascii="楷体" w:hAnsi="楷体" w:eastAsia="楷体" w:cs="楷体"/>
          <w:b/>
          <w:sz w:val="24"/>
          <w:szCs w:val="28"/>
        </w:rPr>
      </w:pPr>
    </w:p>
    <w:p w14:paraId="7633A1E5">
      <w:pPr>
        <w:pStyle w:val="2"/>
        <w:spacing w:before="4" w:after="156"/>
        <w:rPr>
          <w:rFonts w:ascii="楷体" w:hAnsi="楷体" w:eastAsia="楷体" w:cs="楷体"/>
          <w:b/>
          <w:sz w:val="24"/>
          <w:szCs w:val="28"/>
        </w:rPr>
      </w:pPr>
    </w:p>
    <w:p w14:paraId="18C13FF2">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54DC721A">
      <w:pPr>
        <w:tabs>
          <w:tab w:val="left" w:pos="5457"/>
        </w:tabs>
        <w:ind w:left="117"/>
        <w:rPr>
          <w:rFonts w:ascii="楷体" w:hAnsi="楷体" w:eastAsia="楷体" w:cs="楷体"/>
          <w:b/>
          <w:sz w:val="24"/>
          <w:szCs w:val="21"/>
        </w:rPr>
      </w:pPr>
    </w:p>
    <w:p w14:paraId="2AF221DE">
      <w:pPr>
        <w:keepNext/>
        <w:keepLines/>
        <w:jc w:val="center"/>
        <w:outlineLvl w:val="0"/>
        <w:rPr>
          <w:rFonts w:ascii="Calibri" w:hAnsi="Calibri" w:eastAsia="宋体" w:cs="Times New Roman"/>
          <w:b/>
          <w:bCs/>
          <w:kern w:val="44"/>
          <w:sz w:val="36"/>
          <w:szCs w:val="44"/>
        </w:rPr>
        <w:sectPr>
          <w:footerReference r:id="rId16" w:type="first"/>
          <w:headerReference r:id="rId14" w:type="default"/>
          <w:footerReference r:id="rId15"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3D03A7F1">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355"/>
    </w:p>
    <w:p w14:paraId="46F841B8">
      <w:pPr>
        <w:keepNext/>
        <w:keepLines/>
        <w:rPr>
          <w:rFonts w:ascii="Times New Roman" w:hAnsi="Times New Roman" w:eastAsia="宋体" w:cs="Times New Roman"/>
          <w:b/>
          <w:bCs/>
          <w:color w:val="000000"/>
          <w:sz w:val="24"/>
          <w:szCs w:val="24"/>
        </w:rPr>
      </w:pPr>
    </w:p>
    <w:p w14:paraId="6F19DA62">
      <w:pPr>
        <w:pStyle w:val="16"/>
        <w:rPr>
          <w:rFonts w:ascii="Times New Roman" w:hAnsi="Times New Roman" w:eastAsia="宋体" w:cs="Times New Roman"/>
          <w:b/>
          <w:bCs/>
          <w:color w:val="000000"/>
          <w:sz w:val="24"/>
          <w:szCs w:val="24"/>
        </w:rPr>
      </w:pPr>
    </w:p>
    <w:p w14:paraId="7849FDC2">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说明：</w:t>
      </w:r>
    </w:p>
    <w:p w14:paraId="5AB6743B">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5FA08B40">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00AE1EA3">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4F2A50C7">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0BC081B5">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74DBC44D">
      <w:pPr>
        <w:pStyle w:val="16"/>
        <w:rPr>
          <w:rFonts w:ascii="Times New Roman" w:hAnsi="Times New Roman" w:eastAsia="宋体" w:cs="Times New Roman"/>
          <w:b/>
          <w:bCs/>
          <w:color w:val="000000"/>
          <w:sz w:val="24"/>
          <w:szCs w:val="24"/>
        </w:rPr>
        <w:sectPr>
          <w:footerReference r:id="rId19" w:type="first"/>
          <w:headerReference r:id="rId17" w:type="default"/>
          <w:footerReference r:id="rId18"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6350BCDA">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436" w:name="_Toc212369550"/>
      <w:bookmarkStart w:id="1437" w:name="_Toc353881012"/>
      <w:bookmarkStart w:id="1438" w:name="_Toc639004"/>
      <w:bookmarkStart w:id="1439"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436"/>
      <w:bookmarkEnd w:id="1437"/>
      <w:bookmarkEnd w:id="1438"/>
      <w:bookmarkEnd w:id="1439"/>
    </w:p>
    <w:p w14:paraId="1F4B2D9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w:t>
      </w:r>
      <w:r>
        <w:rPr>
          <w:rFonts w:hint="eastAsia" w:ascii="宋体" w:hAnsi="宋体" w:eastAsia="宋体" w:cs="Times New Roman"/>
          <w:color w:val="000000"/>
          <w:sz w:val="24"/>
          <w:szCs w:val="24"/>
          <w:lang w:eastAsia="zh-CN"/>
        </w:rPr>
        <w:t>重汽（济南）车桥有限公司</w:t>
      </w:r>
      <w:r>
        <w:rPr>
          <w:rFonts w:hint="eastAsia" w:ascii="宋体" w:hAnsi="宋体" w:eastAsia="宋体" w:cs="Times New Roman"/>
          <w:color w:val="000000"/>
          <w:sz w:val="24"/>
          <w:szCs w:val="24"/>
        </w:rPr>
        <w:t>：</w:t>
      </w:r>
    </w:p>
    <w:p w14:paraId="5B2864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u w:val="single"/>
          <w:lang w:eastAsia="zh-CN"/>
        </w:rPr>
        <w:t>济南车桥公司桥壳加工线起重设备改造技改项目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14:paraId="40A3B44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017AD7F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273CDE0D">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3AC3D6F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0D27767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66D2C80C">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271584E9">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4833E8B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56A4E58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0090CE3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28887EF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60B966D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3C8E854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5106BEE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21520AE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7CCCBF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E108430">
      <w:pPr>
        <w:rPr>
          <w:rFonts w:ascii="黑体" w:hAnsi="Calibri" w:eastAsia="黑体" w:cs="Times New Roman"/>
          <w:color w:val="000000"/>
          <w:sz w:val="24"/>
          <w:szCs w:val="24"/>
        </w:rPr>
      </w:pPr>
    </w:p>
    <w:p w14:paraId="4EEEC91C">
      <w:pPr>
        <w:rPr>
          <w:rFonts w:ascii="黑体" w:hAnsi="Calibri" w:eastAsia="黑体" w:cs="Times New Roman"/>
          <w:color w:val="000000"/>
          <w:sz w:val="24"/>
          <w:szCs w:val="24"/>
        </w:rPr>
      </w:pPr>
    </w:p>
    <w:p w14:paraId="2BE9BA93">
      <w:pPr>
        <w:pStyle w:val="16"/>
        <w:rPr>
          <w:rFonts w:ascii="黑体" w:hAnsi="Calibri" w:eastAsia="黑体" w:cs="Times New Roman"/>
          <w:color w:val="000000"/>
          <w:sz w:val="24"/>
          <w:szCs w:val="24"/>
        </w:rPr>
      </w:pPr>
    </w:p>
    <w:p w14:paraId="6D6F04D9">
      <w:pPr>
        <w:pStyle w:val="16"/>
        <w:rPr>
          <w:rFonts w:ascii="黑体" w:hAnsi="Calibri" w:eastAsia="黑体" w:cs="Times New Roman"/>
          <w:color w:val="000000"/>
          <w:sz w:val="24"/>
          <w:szCs w:val="24"/>
        </w:rPr>
      </w:pPr>
    </w:p>
    <w:p w14:paraId="574D17EE">
      <w:pPr>
        <w:pStyle w:val="16"/>
        <w:rPr>
          <w:rFonts w:ascii="黑体" w:hAnsi="Calibri" w:eastAsia="黑体" w:cs="Times New Roman"/>
          <w:color w:val="000000"/>
          <w:sz w:val="24"/>
          <w:szCs w:val="24"/>
        </w:rPr>
      </w:pPr>
    </w:p>
    <w:p w14:paraId="399EA9A6">
      <w:pPr>
        <w:pStyle w:val="16"/>
        <w:rPr>
          <w:rFonts w:ascii="黑体" w:hAnsi="Calibri" w:eastAsia="黑体" w:cs="Times New Roman"/>
          <w:color w:val="000000"/>
          <w:sz w:val="24"/>
          <w:szCs w:val="24"/>
        </w:rPr>
      </w:pPr>
    </w:p>
    <w:p w14:paraId="7825E601">
      <w:pPr>
        <w:rPr>
          <w:rFonts w:ascii="黑体" w:hAnsi="Calibri" w:eastAsia="黑体" w:cs="Times New Roman"/>
          <w:color w:val="000000"/>
          <w:sz w:val="24"/>
          <w:szCs w:val="24"/>
        </w:rPr>
      </w:pPr>
    </w:p>
    <w:p w14:paraId="42BCCAF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21A0B04A">
      <w:pPr>
        <w:adjustRightInd w:val="0"/>
        <w:snapToGrid w:val="0"/>
        <w:spacing w:before="93" w:beforeLines="30" w:line="240" w:lineRule="exact"/>
        <w:jc w:val="center"/>
        <w:rPr>
          <w:rFonts w:ascii="宋体" w:hAnsi="Calibri" w:eastAsia="宋体" w:cs="Times New Roman"/>
          <w:sz w:val="24"/>
          <w:szCs w:val="20"/>
        </w:rPr>
      </w:pPr>
    </w:p>
    <w:p w14:paraId="1FFC9F5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szCs w:val="24"/>
          <w:u w:val="single"/>
          <w:lang w:eastAsia="zh-CN"/>
        </w:rPr>
        <w:t>济南车桥公司桥壳加工线起重设备改造技改项目</w:t>
      </w:r>
      <w:r>
        <w:rPr>
          <w:rFonts w:ascii="宋体" w:hAnsi="宋体" w:eastAsia="宋体" w:cs="Times New Roman"/>
          <w:b/>
          <w:bCs/>
          <w:color w:val="000000"/>
          <w:sz w:val="24"/>
          <w:szCs w:val="24"/>
        </w:rPr>
        <w:t xml:space="preserve"> </w:t>
      </w:r>
      <w:r>
        <w:rPr>
          <w:rFonts w:hint="eastAsia" w:ascii="宋体" w:hAnsi="宋体" w:eastAsia="宋体" w:cs="Times New Roman"/>
          <w:color w:val="000000"/>
          <w:sz w:val="24"/>
          <w:szCs w:val="24"/>
        </w:rPr>
        <w:t>（</w:t>
      </w:r>
      <w:r>
        <w:rPr>
          <w:rFonts w:hint="eastAsia" w:ascii="宋体" w:hAnsi="宋体" w:eastAsia="宋体" w:cs="Times New Roman"/>
          <w:color w:val="000000"/>
          <w:sz w:val="24"/>
          <w:szCs w:val="24"/>
          <w:highlight w:val="red"/>
          <w:lang w:eastAsia="zh-CN"/>
        </w:rPr>
        <w:t>CGZX2025090010</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C4371D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6"/>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E9541C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9F566A2">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48F9C1C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3B35EBD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65ED6DA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3B25634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6454947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DED9A8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E294BE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78135C52">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EACD695">
      <w:pPr>
        <w:rPr>
          <w:rFonts w:ascii="Calibri" w:hAnsi="Calibri" w:eastAsia="黑体" w:cs="Times New Roman"/>
          <w:b/>
          <w:bCs/>
          <w:color w:val="000000"/>
          <w:sz w:val="28"/>
          <w:szCs w:val="20"/>
        </w:rPr>
      </w:pPr>
    </w:p>
    <w:p w14:paraId="4023481E">
      <w:pPr>
        <w:pStyle w:val="16"/>
        <w:rPr>
          <w:rFonts w:ascii="Calibri" w:hAnsi="Calibri" w:eastAsia="黑体" w:cs="Times New Roman"/>
          <w:b/>
          <w:bCs/>
          <w:color w:val="000000"/>
          <w:sz w:val="28"/>
          <w:szCs w:val="20"/>
        </w:rPr>
        <w:sectPr>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54117CB1">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421DBDD3">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29"/>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52A1DC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02C9846D">
            <w:pPr>
              <w:pStyle w:val="131"/>
              <w:spacing w:before="114"/>
              <w:ind w:left="720"/>
            </w:pPr>
            <w:r>
              <w:t xml:space="preserve">企业名称 </w:t>
            </w:r>
          </w:p>
        </w:tc>
        <w:tc>
          <w:tcPr>
            <w:tcW w:w="4680" w:type="dxa"/>
            <w:gridSpan w:val="4"/>
            <w:vAlign w:val="center"/>
          </w:tcPr>
          <w:p w14:paraId="2F32E9D0">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77DFC8BD">
            <w:pPr>
              <w:pStyle w:val="131"/>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70AB75C8">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7C4966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45EB7071">
            <w:pPr>
              <w:pStyle w:val="131"/>
              <w:spacing w:before="114"/>
              <w:ind w:left="720"/>
            </w:pPr>
            <w:r>
              <w:t xml:space="preserve">企业地址 </w:t>
            </w:r>
          </w:p>
        </w:tc>
        <w:tc>
          <w:tcPr>
            <w:tcW w:w="4680" w:type="dxa"/>
            <w:gridSpan w:val="4"/>
            <w:vAlign w:val="center"/>
          </w:tcPr>
          <w:p w14:paraId="440E3F44">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29B1DE33">
            <w:pPr>
              <w:pStyle w:val="131"/>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453BC9DD">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13EB6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10BBF76E">
            <w:pPr>
              <w:pStyle w:val="131"/>
              <w:spacing w:before="111"/>
              <w:ind w:left="720"/>
            </w:pPr>
            <w:r>
              <w:t xml:space="preserve">企业性质 </w:t>
            </w:r>
          </w:p>
        </w:tc>
        <w:tc>
          <w:tcPr>
            <w:tcW w:w="4680" w:type="dxa"/>
            <w:gridSpan w:val="4"/>
            <w:vAlign w:val="center"/>
          </w:tcPr>
          <w:p w14:paraId="7B2370C7">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39DF4223">
            <w:pPr>
              <w:pStyle w:val="131"/>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3C4135B9">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580FFA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7E7816B1">
            <w:pPr>
              <w:pStyle w:val="131"/>
              <w:spacing w:before="111"/>
              <w:ind w:left="509"/>
              <w:rPr>
                <w:highlight w:val="yellow"/>
              </w:rPr>
            </w:pPr>
            <w:r>
              <w:t xml:space="preserve">企业法人代表  </w:t>
            </w:r>
          </w:p>
        </w:tc>
        <w:tc>
          <w:tcPr>
            <w:tcW w:w="4680" w:type="dxa"/>
            <w:gridSpan w:val="4"/>
          </w:tcPr>
          <w:p w14:paraId="518697AE">
            <w:pPr>
              <w:pStyle w:val="6"/>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2A0E3931">
            <w:pPr>
              <w:pStyle w:val="131"/>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427FA612">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3B4642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143B1CA0">
            <w:pPr>
              <w:pStyle w:val="131"/>
              <w:spacing w:before="114"/>
              <w:ind w:left="720"/>
            </w:pPr>
            <w:r>
              <w:t xml:space="preserve">品牌区分 </w:t>
            </w:r>
          </w:p>
        </w:tc>
        <w:tc>
          <w:tcPr>
            <w:tcW w:w="7500" w:type="dxa"/>
            <w:gridSpan w:val="6"/>
          </w:tcPr>
          <w:p w14:paraId="6E104818">
            <w:pPr>
              <w:pStyle w:val="13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1CE48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17BC7B3">
            <w:pPr>
              <w:pStyle w:val="131"/>
              <w:spacing w:before="178"/>
              <w:ind w:left="720"/>
            </w:pPr>
            <w:r>
              <w:t xml:space="preserve">品牌名称 </w:t>
            </w:r>
          </w:p>
        </w:tc>
        <w:tc>
          <w:tcPr>
            <w:tcW w:w="3583" w:type="dxa"/>
            <w:gridSpan w:val="3"/>
            <w:vAlign w:val="center"/>
          </w:tcPr>
          <w:p w14:paraId="39FE9038">
            <w:pPr>
              <w:widowControl/>
              <w:rPr>
                <w:rFonts w:ascii="宋体" w:hAnsi="宋体" w:eastAsia="仿宋_GB2312"/>
                <w:kern w:val="0"/>
                <w:szCs w:val="21"/>
                <w:lang w:bidi="ar"/>
              </w:rPr>
            </w:pPr>
          </w:p>
        </w:tc>
        <w:tc>
          <w:tcPr>
            <w:tcW w:w="1097" w:type="dxa"/>
          </w:tcPr>
          <w:p w14:paraId="3577366D">
            <w:pPr>
              <w:pStyle w:val="131"/>
              <w:spacing w:before="15"/>
              <w:ind w:left="279"/>
            </w:pPr>
            <w:r>
              <w:rPr>
                <w:spacing w:val="-2"/>
              </w:rPr>
              <w:t>质量</w:t>
            </w:r>
            <w:r>
              <w:t xml:space="preserve"> </w:t>
            </w:r>
          </w:p>
          <w:p w14:paraId="506DFFE4">
            <w:pPr>
              <w:pStyle w:val="131"/>
              <w:spacing w:before="30" w:line="277" w:lineRule="exact"/>
              <w:ind w:left="279"/>
            </w:pPr>
            <w:r>
              <w:rPr>
                <w:rFonts w:hint="eastAsia"/>
              </w:rPr>
              <w:t>体系</w:t>
            </w:r>
          </w:p>
        </w:tc>
        <w:tc>
          <w:tcPr>
            <w:tcW w:w="2820" w:type="dxa"/>
            <w:gridSpan w:val="2"/>
          </w:tcPr>
          <w:p w14:paraId="2FACE1C7">
            <w:pPr>
              <w:pStyle w:val="131"/>
              <w:spacing w:before="158"/>
              <w:jc w:val="center"/>
              <w:rPr>
                <w:sz w:val="24"/>
              </w:rPr>
            </w:pPr>
            <w:r>
              <w:rPr>
                <w:rFonts w:hint="eastAsia"/>
                <w:kern w:val="0"/>
                <w:szCs w:val="21"/>
                <w:lang w:bidi="ar"/>
              </w:rPr>
              <w:t>/</w:t>
            </w:r>
          </w:p>
        </w:tc>
      </w:tr>
      <w:tr w14:paraId="71DB30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728FD17D">
            <w:pPr>
              <w:pStyle w:val="131"/>
              <w:spacing w:before="149"/>
              <w:ind w:left="3345" w:right="3223"/>
              <w:jc w:val="center"/>
            </w:pPr>
            <w:r>
              <w:rPr>
                <w:rFonts w:hint="eastAsia"/>
                <w:szCs w:val="21"/>
              </w:rPr>
              <w:t>单位概况</w:t>
            </w:r>
          </w:p>
        </w:tc>
      </w:tr>
      <w:tr w14:paraId="22E5F4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6CF2C1D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4F351B7B">
            <w:pPr>
              <w:widowControl/>
              <w:textAlignment w:val="center"/>
              <w:rPr>
                <w:rFonts w:ascii="宋体" w:hAnsi="宋体" w:eastAsia="宋体" w:cs="宋体"/>
                <w:szCs w:val="21"/>
              </w:rPr>
            </w:pPr>
          </w:p>
        </w:tc>
        <w:tc>
          <w:tcPr>
            <w:tcW w:w="1530" w:type="dxa"/>
            <w:vAlign w:val="center"/>
          </w:tcPr>
          <w:p w14:paraId="236CCBD1">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4337B097">
            <w:pPr>
              <w:widowControl/>
              <w:jc w:val="center"/>
              <w:textAlignment w:val="center"/>
              <w:rPr>
                <w:rFonts w:ascii="宋体" w:hAnsi="宋体" w:eastAsia="宋体" w:cs="宋体"/>
                <w:szCs w:val="21"/>
              </w:rPr>
            </w:pPr>
          </w:p>
        </w:tc>
        <w:tc>
          <w:tcPr>
            <w:tcW w:w="1097" w:type="dxa"/>
            <w:vAlign w:val="center"/>
          </w:tcPr>
          <w:p w14:paraId="44CF69FA">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1158CA5F">
            <w:pPr>
              <w:widowControl/>
              <w:jc w:val="center"/>
              <w:textAlignment w:val="center"/>
              <w:rPr>
                <w:rFonts w:ascii="宋体" w:hAnsi="宋体" w:eastAsia="宋体" w:cs="宋体"/>
                <w:szCs w:val="21"/>
              </w:rPr>
            </w:pPr>
          </w:p>
        </w:tc>
      </w:tr>
      <w:tr w14:paraId="34365A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12097113">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64F2E91D">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33023E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77CEA768">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55E7159F">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15B0C1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00258DA5">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046990F8">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780D22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64441F0B">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72819FB0">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21F15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BFD6ED6">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204D884F">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5E15B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1FEFD79">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26CBE009">
            <w:pPr>
              <w:widowControl/>
              <w:jc w:val="left"/>
              <w:rPr>
                <w:rFonts w:ascii="宋体" w:hAnsi="宋体" w:eastAsia="宋体" w:cs="宋体"/>
                <w:kern w:val="0"/>
                <w:szCs w:val="21"/>
                <w:lang w:bidi="ar"/>
              </w:rPr>
            </w:pPr>
          </w:p>
        </w:tc>
      </w:tr>
    </w:tbl>
    <w:p w14:paraId="2ABC43FB">
      <w:pPr>
        <w:pStyle w:val="16"/>
        <w:rPr>
          <w:rFonts w:ascii="Times New Roman" w:hAnsi="Times New Roman" w:eastAsia="宋体" w:cs="Times New Roman"/>
          <w:b/>
          <w:bCs/>
          <w:color w:val="000000"/>
          <w:sz w:val="24"/>
          <w:szCs w:val="24"/>
        </w:rPr>
      </w:pPr>
    </w:p>
    <w:p w14:paraId="417B1F00">
      <w:pPr>
        <w:pStyle w:val="16"/>
        <w:rPr>
          <w:rFonts w:ascii="Times New Roman" w:hAnsi="Times New Roman" w:eastAsia="宋体" w:cs="Times New Roman"/>
          <w:b/>
          <w:bCs/>
          <w:color w:val="000000"/>
          <w:sz w:val="24"/>
          <w:szCs w:val="24"/>
        </w:rPr>
      </w:pPr>
    </w:p>
    <w:p w14:paraId="1F7C2757">
      <w:pPr>
        <w:pStyle w:val="16"/>
        <w:rPr>
          <w:rFonts w:ascii="Times New Roman" w:hAnsi="Times New Roman" w:eastAsia="宋体" w:cs="Times New Roman"/>
          <w:b/>
          <w:bCs/>
          <w:color w:val="000000"/>
          <w:sz w:val="24"/>
          <w:szCs w:val="24"/>
        </w:rPr>
      </w:pPr>
    </w:p>
    <w:p w14:paraId="07BA50B5">
      <w:pPr>
        <w:pStyle w:val="16"/>
        <w:rPr>
          <w:rFonts w:ascii="Times New Roman" w:hAnsi="Times New Roman" w:eastAsia="宋体" w:cs="Times New Roman"/>
          <w:b/>
          <w:bCs/>
          <w:color w:val="000000"/>
          <w:sz w:val="24"/>
          <w:szCs w:val="24"/>
        </w:rPr>
      </w:pPr>
    </w:p>
    <w:p w14:paraId="5C85BDB5">
      <w:pPr>
        <w:pStyle w:val="16"/>
        <w:rPr>
          <w:rFonts w:ascii="Times New Roman" w:hAnsi="Times New Roman" w:eastAsia="宋体" w:cs="Times New Roman"/>
          <w:b/>
          <w:bCs/>
          <w:color w:val="000000"/>
          <w:sz w:val="24"/>
          <w:szCs w:val="24"/>
        </w:rPr>
      </w:pPr>
    </w:p>
    <w:p w14:paraId="6F33B26F">
      <w:pPr>
        <w:pStyle w:val="16"/>
        <w:rPr>
          <w:rFonts w:ascii="Times New Roman" w:hAnsi="Times New Roman" w:eastAsia="宋体" w:cs="Times New Roman"/>
          <w:b/>
          <w:bCs/>
          <w:color w:val="000000"/>
          <w:sz w:val="24"/>
          <w:szCs w:val="24"/>
        </w:rPr>
      </w:pPr>
    </w:p>
    <w:p w14:paraId="5F44DC23">
      <w:pPr>
        <w:pStyle w:val="16"/>
        <w:rPr>
          <w:rFonts w:ascii="Times New Roman" w:hAnsi="Times New Roman" w:eastAsia="宋体" w:cs="Times New Roman"/>
          <w:b/>
          <w:bCs/>
          <w:color w:val="000000"/>
          <w:sz w:val="24"/>
          <w:szCs w:val="24"/>
        </w:rPr>
      </w:pPr>
    </w:p>
    <w:p w14:paraId="57D36444">
      <w:pPr>
        <w:pStyle w:val="16"/>
        <w:rPr>
          <w:rFonts w:ascii="Times New Roman" w:hAnsi="Times New Roman" w:eastAsia="宋体" w:cs="Times New Roman"/>
          <w:b/>
          <w:bCs/>
          <w:color w:val="000000"/>
          <w:sz w:val="24"/>
          <w:szCs w:val="24"/>
        </w:rPr>
      </w:pPr>
    </w:p>
    <w:p w14:paraId="2F213BF3">
      <w:pPr>
        <w:pStyle w:val="16"/>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4346B7F9">
      <w:pPr>
        <w:pStyle w:val="16"/>
        <w:rPr>
          <w:rFonts w:ascii="Times New Roman" w:hAnsi="Times New Roman" w:eastAsia="宋体" w:cs="Times New Roman"/>
          <w:b/>
          <w:bCs/>
          <w:color w:val="000000"/>
          <w:sz w:val="24"/>
          <w:szCs w:val="24"/>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31A54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4D6A50F1">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022EF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E72208F">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12680883">
            <w:pPr>
              <w:spacing w:line="440" w:lineRule="exact"/>
              <w:jc w:val="center"/>
              <w:rPr>
                <w:rFonts w:ascii="宋体" w:hAnsi="宋体"/>
                <w:color w:val="000000"/>
                <w:sz w:val="24"/>
                <w:szCs w:val="24"/>
              </w:rPr>
            </w:pPr>
          </w:p>
        </w:tc>
      </w:tr>
      <w:tr w14:paraId="582AA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A4C2B36">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4166F412">
            <w:pPr>
              <w:spacing w:line="440" w:lineRule="exact"/>
              <w:jc w:val="center"/>
              <w:rPr>
                <w:rFonts w:ascii="宋体" w:hAnsi="宋体"/>
                <w:color w:val="000000"/>
                <w:sz w:val="24"/>
                <w:szCs w:val="24"/>
              </w:rPr>
            </w:pPr>
          </w:p>
        </w:tc>
      </w:tr>
      <w:tr w14:paraId="14423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1CDEC6C">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5BBB0522">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2</w:t>
            </w:r>
            <w:r>
              <w:rPr>
                <w:rFonts w:hint="eastAsia" w:ascii="宋体" w:hAnsi="宋体" w:eastAsia="宋体"/>
                <w:color w:val="000000"/>
                <w:sz w:val="24"/>
                <w:szCs w:val="24"/>
              </w:rPr>
              <w:t>年</w:t>
            </w:r>
          </w:p>
        </w:tc>
        <w:tc>
          <w:tcPr>
            <w:tcW w:w="1288" w:type="dxa"/>
            <w:vAlign w:val="center"/>
          </w:tcPr>
          <w:p w14:paraId="5C6EB058">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3</w:t>
            </w:r>
            <w:r>
              <w:rPr>
                <w:rFonts w:hint="eastAsia" w:ascii="宋体" w:hAnsi="宋体" w:eastAsia="宋体"/>
                <w:color w:val="000000"/>
                <w:sz w:val="24"/>
                <w:szCs w:val="24"/>
              </w:rPr>
              <w:t>年</w:t>
            </w:r>
          </w:p>
        </w:tc>
        <w:tc>
          <w:tcPr>
            <w:tcW w:w="1288" w:type="dxa"/>
            <w:vAlign w:val="center"/>
          </w:tcPr>
          <w:p w14:paraId="7304D8EC">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4</w:t>
            </w:r>
            <w:r>
              <w:rPr>
                <w:rFonts w:hint="eastAsia" w:ascii="宋体" w:hAnsi="宋体" w:eastAsia="宋体"/>
                <w:color w:val="000000"/>
                <w:sz w:val="24"/>
                <w:szCs w:val="24"/>
              </w:rPr>
              <w:t>年</w:t>
            </w:r>
          </w:p>
        </w:tc>
      </w:tr>
      <w:tr w14:paraId="0590C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BE8CE47">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1737E3B4">
            <w:pPr>
              <w:spacing w:line="440" w:lineRule="exact"/>
              <w:jc w:val="center"/>
              <w:rPr>
                <w:rFonts w:ascii="宋体" w:hAnsi="宋体"/>
                <w:color w:val="000000"/>
                <w:sz w:val="24"/>
                <w:szCs w:val="24"/>
              </w:rPr>
            </w:pPr>
          </w:p>
        </w:tc>
        <w:tc>
          <w:tcPr>
            <w:tcW w:w="1288" w:type="dxa"/>
          </w:tcPr>
          <w:p w14:paraId="551958C2">
            <w:pPr>
              <w:spacing w:line="440" w:lineRule="exact"/>
              <w:jc w:val="center"/>
              <w:rPr>
                <w:rFonts w:ascii="宋体" w:hAnsi="宋体"/>
                <w:color w:val="000000"/>
                <w:sz w:val="24"/>
                <w:szCs w:val="24"/>
              </w:rPr>
            </w:pPr>
          </w:p>
        </w:tc>
        <w:tc>
          <w:tcPr>
            <w:tcW w:w="1288" w:type="dxa"/>
          </w:tcPr>
          <w:p w14:paraId="77E837ED">
            <w:pPr>
              <w:spacing w:line="440" w:lineRule="exact"/>
              <w:jc w:val="center"/>
              <w:rPr>
                <w:rFonts w:ascii="宋体" w:hAnsi="宋体"/>
                <w:color w:val="000000"/>
                <w:sz w:val="24"/>
                <w:szCs w:val="24"/>
              </w:rPr>
            </w:pPr>
          </w:p>
        </w:tc>
      </w:tr>
      <w:tr w14:paraId="03C2F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734C03B">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77A7D3C9">
            <w:pPr>
              <w:spacing w:line="440" w:lineRule="exact"/>
              <w:jc w:val="center"/>
              <w:rPr>
                <w:rFonts w:ascii="宋体" w:hAnsi="宋体"/>
                <w:color w:val="000000"/>
                <w:sz w:val="24"/>
                <w:szCs w:val="24"/>
              </w:rPr>
            </w:pPr>
          </w:p>
        </w:tc>
        <w:tc>
          <w:tcPr>
            <w:tcW w:w="1288" w:type="dxa"/>
          </w:tcPr>
          <w:p w14:paraId="29A2671F">
            <w:pPr>
              <w:spacing w:line="440" w:lineRule="exact"/>
              <w:jc w:val="center"/>
              <w:rPr>
                <w:rFonts w:ascii="宋体" w:hAnsi="宋体"/>
                <w:color w:val="000000"/>
                <w:sz w:val="24"/>
                <w:szCs w:val="24"/>
              </w:rPr>
            </w:pPr>
          </w:p>
        </w:tc>
        <w:tc>
          <w:tcPr>
            <w:tcW w:w="1288" w:type="dxa"/>
          </w:tcPr>
          <w:p w14:paraId="0DEC5016">
            <w:pPr>
              <w:spacing w:line="440" w:lineRule="exact"/>
              <w:jc w:val="center"/>
              <w:rPr>
                <w:rFonts w:ascii="宋体" w:hAnsi="宋体"/>
                <w:color w:val="000000"/>
                <w:sz w:val="24"/>
                <w:szCs w:val="24"/>
              </w:rPr>
            </w:pPr>
          </w:p>
        </w:tc>
      </w:tr>
      <w:tr w14:paraId="6BE7F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EF441F1">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494E069A">
            <w:pPr>
              <w:spacing w:line="440" w:lineRule="exact"/>
              <w:jc w:val="center"/>
              <w:rPr>
                <w:rFonts w:ascii="宋体" w:hAnsi="宋体"/>
                <w:color w:val="000000"/>
                <w:sz w:val="24"/>
                <w:szCs w:val="24"/>
                <w:highlight w:val="yellow"/>
              </w:rPr>
            </w:pPr>
          </w:p>
        </w:tc>
        <w:tc>
          <w:tcPr>
            <w:tcW w:w="1288" w:type="dxa"/>
          </w:tcPr>
          <w:p w14:paraId="30FEBC7F">
            <w:pPr>
              <w:spacing w:line="440" w:lineRule="exact"/>
              <w:jc w:val="center"/>
              <w:rPr>
                <w:rFonts w:ascii="宋体" w:hAnsi="宋体"/>
                <w:color w:val="000000"/>
                <w:sz w:val="24"/>
                <w:szCs w:val="24"/>
                <w:highlight w:val="yellow"/>
              </w:rPr>
            </w:pPr>
          </w:p>
        </w:tc>
        <w:tc>
          <w:tcPr>
            <w:tcW w:w="1288" w:type="dxa"/>
          </w:tcPr>
          <w:p w14:paraId="2E55B567">
            <w:pPr>
              <w:spacing w:line="440" w:lineRule="exact"/>
              <w:jc w:val="center"/>
              <w:rPr>
                <w:rFonts w:ascii="宋体" w:hAnsi="宋体"/>
                <w:color w:val="000000"/>
                <w:sz w:val="24"/>
                <w:szCs w:val="24"/>
                <w:highlight w:val="yellow"/>
              </w:rPr>
            </w:pPr>
          </w:p>
        </w:tc>
      </w:tr>
      <w:tr w14:paraId="01F82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45DFD38">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0ADE1FDD">
            <w:pPr>
              <w:spacing w:line="440" w:lineRule="exact"/>
              <w:jc w:val="center"/>
              <w:rPr>
                <w:rFonts w:ascii="宋体" w:hAnsi="宋体"/>
                <w:color w:val="000000"/>
                <w:sz w:val="24"/>
                <w:szCs w:val="24"/>
              </w:rPr>
            </w:pPr>
          </w:p>
        </w:tc>
        <w:tc>
          <w:tcPr>
            <w:tcW w:w="1288" w:type="dxa"/>
          </w:tcPr>
          <w:p w14:paraId="02BEB5CD">
            <w:pPr>
              <w:spacing w:line="440" w:lineRule="exact"/>
              <w:jc w:val="center"/>
              <w:rPr>
                <w:rFonts w:ascii="宋体" w:hAnsi="宋体"/>
                <w:color w:val="000000"/>
                <w:sz w:val="24"/>
                <w:szCs w:val="24"/>
              </w:rPr>
            </w:pPr>
          </w:p>
        </w:tc>
        <w:tc>
          <w:tcPr>
            <w:tcW w:w="1288" w:type="dxa"/>
          </w:tcPr>
          <w:p w14:paraId="733AF2E7">
            <w:pPr>
              <w:spacing w:line="440" w:lineRule="exact"/>
              <w:jc w:val="center"/>
              <w:rPr>
                <w:rFonts w:ascii="宋体" w:hAnsi="宋体"/>
                <w:color w:val="000000"/>
                <w:sz w:val="24"/>
                <w:szCs w:val="24"/>
              </w:rPr>
            </w:pPr>
          </w:p>
        </w:tc>
      </w:tr>
      <w:tr w14:paraId="3FB43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033888E">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55405772">
            <w:pPr>
              <w:spacing w:line="440" w:lineRule="exact"/>
              <w:jc w:val="center"/>
              <w:rPr>
                <w:rFonts w:ascii="宋体" w:hAnsi="宋体"/>
                <w:color w:val="000000"/>
                <w:sz w:val="24"/>
                <w:szCs w:val="24"/>
              </w:rPr>
            </w:pPr>
          </w:p>
        </w:tc>
        <w:tc>
          <w:tcPr>
            <w:tcW w:w="1288" w:type="dxa"/>
          </w:tcPr>
          <w:p w14:paraId="3D138BC0">
            <w:pPr>
              <w:spacing w:line="440" w:lineRule="exact"/>
              <w:jc w:val="center"/>
              <w:rPr>
                <w:rFonts w:ascii="宋体" w:hAnsi="宋体"/>
                <w:color w:val="000000"/>
                <w:sz w:val="24"/>
                <w:szCs w:val="24"/>
              </w:rPr>
            </w:pPr>
          </w:p>
        </w:tc>
        <w:tc>
          <w:tcPr>
            <w:tcW w:w="1288" w:type="dxa"/>
          </w:tcPr>
          <w:p w14:paraId="76DEA9D3">
            <w:pPr>
              <w:spacing w:line="440" w:lineRule="exact"/>
              <w:jc w:val="center"/>
              <w:rPr>
                <w:rFonts w:ascii="宋体" w:hAnsi="宋体"/>
                <w:color w:val="000000"/>
                <w:sz w:val="24"/>
                <w:szCs w:val="24"/>
              </w:rPr>
            </w:pPr>
          </w:p>
        </w:tc>
      </w:tr>
      <w:tr w14:paraId="620DD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D0181C4">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5D9D149A">
            <w:pPr>
              <w:spacing w:line="440" w:lineRule="exact"/>
              <w:jc w:val="center"/>
              <w:rPr>
                <w:rFonts w:ascii="宋体" w:hAnsi="宋体"/>
                <w:color w:val="000000"/>
                <w:sz w:val="24"/>
                <w:szCs w:val="24"/>
                <w:highlight w:val="yellow"/>
              </w:rPr>
            </w:pPr>
          </w:p>
        </w:tc>
        <w:tc>
          <w:tcPr>
            <w:tcW w:w="1288" w:type="dxa"/>
          </w:tcPr>
          <w:p w14:paraId="0D0E3799">
            <w:pPr>
              <w:spacing w:line="440" w:lineRule="exact"/>
              <w:jc w:val="center"/>
              <w:rPr>
                <w:rFonts w:ascii="宋体" w:hAnsi="宋体"/>
                <w:color w:val="000000"/>
                <w:sz w:val="24"/>
                <w:szCs w:val="24"/>
                <w:highlight w:val="yellow"/>
              </w:rPr>
            </w:pPr>
          </w:p>
        </w:tc>
        <w:tc>
          <w:tcPr>
            <w:tcW w:w="1288" w:type="dxa"/>
          </w:tcPr>
          <w:p w14:paraId="2E7D2DCA">
            <w:pPr>
              <w:spacing w:line="440" w:lineRule="exact"/>
              <w:jc w:val="center"/>
              <w:rPr>
                <w:rFonts w:ascii="宋体" w:hAnsi="宋体"/>
                <w:color w:val="000000"/>
                <w:sz w:val="24"/>
                <w:szCs w:val="24"/>
                <w:highlight w:val="yellow"/>
              </w:rPr>
            </w:pPr>
          </w:p>
        </w:tc>
      </w:tr>
      <w:tr w14:paraId="11085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E742E60">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695678FD">
            <w:pPr>
              <w:spacing w:line="440" w:lineRule="exact"/>
              <w:jc w:val="center"/>
              <w:rPr>
                <w:rFonts w:ascii="宋体" w:hAnsi="宋体"/>
                <w:color w:val="000000"/>
                <w:sz w:val="24"/>
                <w:szCs w:val="24"/>
                <w:highlight w:val="yellow"/>
              </w:rPr>
            </w:pPr>
          </w:p>
        </w:tc>
        <w:tc>
          <w:tcPr>
            <w:tcW w:w="1288" w:type="dxa"/>
          </w:tcPr>
          <w:p w14:paraId="650B6299">
            <w:pPr>
              <w:spacing w:line="440" w:lineRule="exact"/>
              <w:jc w:val="center"/>
              <w:rPr>
                <w:rFonts w:ascii="宋体" w:hAnsi="宋体"/>
                <w:color w:val="000000"/>
                <w:sz w:val="24"/>
                <w:szCs w:val="24"/>
                <w:highlight w:val="yellow"/>
              </w:rPr>
            </w:pPr>
          </w:p>
        </w:tc>
        <w:tc>
          <w:tcPr>
            <w:tcW w:w="1288" w:type="dxa"/>
          </w:tcPr>
          <w:p w14:paraId="1D3A3E5A">
            <w:pPr>
              <w:spacing w:line="440" w:lineRule="exact"/>
              <w:jc w:val="center"/>
              <w:rPr>
                <w:rFonts w:ascii="宋体" w:hAnsi="宋体"/>
                <w:color w:val="000000"/>
                <w:sz w:val="24"/>
                <w:szCs w:val="24"/>
                <w:highlight w:val="yellow"/>
              </w:rPr>
            </w:pPr>
          </w:p>
        </w:tc>
      </w:tr>
      <w:tr w14:paraId="29367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28F56D0">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58F93518">
            <w:pPr>
              <w:spacing w:line="440" w:lineRule="exact"/>
              <w:jc w:val="center"/>
              <w:rPr>
                <w:rFonts w:ascii="宋体" w:hAnsi="宋体"/>
                <w:color w:val="000000"/>
                <w:sz w:val="24"/>
                <w:szCs w:val="24"/>
              </w:rPr>
            </w:pPr>
          </w:p>
        </w:tc>
        <w:tc>
          <w:tcPr>
            <w:tcW w:w="1288" w:type="dxa"/>
          </w:tcPr>
          <w:p w14:paraId="10C89A17">
            <w:pPr>
              <w:spacing w:line="440" w:lineRule="exact"/>
              <w:jc w:val="center"/>
              <w:rPr>
                <w:rFonts w:ascii="宋体" w:hAnsi="宋体"/>
                <w:color w:val="000000"/>
                <w:sz w:val="24"/>
                <w:szCs w:val="24"/>
              </w:rPr>
            </w:pPr>
          </w:p>
        </w:tc>
        <w:tc>
          <w:tcPr>
            <w:tcW w:w="1288" w:type="dxa"/>
          </w:tcPr>
          <w:p w14:paraId="1B6A6F4B">
            <w:pPr>
              <w:spacing w:line="440" w:lineRule="exact"/>
              <w:jc w:val="center"/>
              <w:rPr>
                <w:rFonts w:ascii="宋体" w:hAnsi="宋体"/>
                <w:color w:val="000000"/>
                <w:sz w:val="24"/>
                <w:szCs w:val="24"/>
              </w:rPr>
            </w:pPr>
          </w:p>
        </w:tc>
      </w:tr>
      <w:tr w14:paraId="1888E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699DA0E">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79049231">
            <w:pPr>
              <w:spacing w:line="440" w:lineRule="exact"/>
              <w:jc w:val="center"/>
              <w:rPr>
                <w:rFonts w:ascii="宋体" w:hAnsi="宋体"/>
                <w:color w:val="000000"/>
                <w:sz w:val="24"/>
                <w:szCs w:val="24"/>
              </w:rPr>
            </w:pPr>
          </w:p>
        </w:tc>
        <w:tc>
          <w:tcPr>
            <w:tcW w:w="1288" w:type="dxa"/>
          </w:tcPr>
          <w:p w14:paraId="62F2EDAE">
            <w:pPr>
              <w:spacing w:line="440" w:lineRule="exact"/>
              <w:jc w:val="center"/>
              <w:rPr>
                <w:rFonts w:ascii="宋体" w:hAnsi="宋体"/>
                <w:color w:val="000000"/>
                <w:sz w:val="24"/>
                <w:szCs w:val="24"/>
              </w:rPr>
            </w:pPr>
          </w:p>
        </w:tc>
        <w:tc>
          <w:tcPr>
            <w:tcW w:w="1288" w:type="dxa"/>
          </w:tcPr>
          <w:p w14:paraId="2E49D0D6">
            <w:pPr>
              <w:spacing w:line="440" w:lineRule="exact"/>
              <w:jc w:val="center"/>
              <w:rPr>
                <w:rFonts w:ascii="宋体" w:hAnsi="宋体"/>
                <w:color w:val="000000"/>
                <w:sz w:val="24"/>
                <w:szCs w:val="24"/>
              </w:rPr>
            </w:pPr>
          </w:p>
        </w:tc>
      </w:tr>
      <w:tr w14:paraId="03D38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14:paraId="5AB0CF7C">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230CF734">
            <w:pPr>
              <w:spacing w:line="440" w:lineRule="exact"/>
              <w:jc w:val="center"/>
              <w:rPr>
                <w:rFonts w:ascii="宋体" w:hAnsi="宋体"/>
                <w:color w:val="000000"/>
                <w:sz w:val="24"/>
                <w:szCs w:val="24"/>
              </w:rPr>
            </w:pPr>
          </w:p>
        </w:tc>
        <w:tc>
          <w:tcPr>
            <w:tcW w:w="1288" w:type="dxa"/>
          </w:tcPr>
          <w:p w14:paraId="4736148B">
            <w:pPr>
              <w:spacing w:line="440" w:lineRule="exact"/>
              <w:jc w:val="center"/>
              <w:rPr>
                <w:rFonts w:ascii="宋体" w:hAnsi="宋体"/>
                <w:color w:val="000000"/>
                <w:sz w:val="24"/>
                <w:szCs w:val="24"/>
              </w:rPr>
            </w:pPr>
          </w:p>
        </w:tc>
        <w:tc>
          <w:tcPr>
            <w:tcW w:w="1288" w:type="dxa"/>
          </w:tcPr>
          <w:p w14:paraId="1E300DA9">
            <w:pPr>
              <w:spacing w:line="440" w:lineRule="exact"/>
              <w:jc w:val="center"/>
              <w:rPr>
                <w:rFonts w:ascii="宋体" w:hAnsi="宋体"/>
                <w:color w:val="000000"/>
                <w:sz w:val="24"/>
                <w:szCs w:val="24"/>
              </w:rPr>
            </w:pPr>
          </w:p>
        </w:tc>
      </w:tr>
    </w:tbl>
    <w:p w14:paraId="2647BAC6">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B2DDA08">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F132FB4">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26A1833">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74BB09C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1EAB7257">
      <w:pPr>
        <w:spacing w:line="240" w:lineRule="exact"/>
        <w:jc w:val="center"/>
        <w:rPr>
          <w:rFonts w:ascii="宋体" w:hAnsi="Calibri" w:eastAsia="宋体" w:cs="Times New Roman"/>
          <w:b/>
          <w:bCs/>
          <w:sz w:val="36"/>
          <w:szCs w:val="20"/>
        </w:rPr>
      </w:pPr>
    </w:p>
    <w:p w14:paraId="12E8414E">
      <w:pPr>
        <w:spacing w:line="360" w:lineRule="auto"/>
        <w:rPr>
          <w:rFonts w:hint="eastAsia" w:ascii="宋体" w:hAnsi="宋体" w:eastAsia="宋体" w:cs="宋体"/>
          <w:sz w:val="24"/>
          <w:szCs w:val="24"/>
          <w:u w:val="single"/>
          <w:lang w:eastAsia="zh-CN"/>
        </w:rPr>
      </w:pPr>
      <w:r>
        <w:rPr>
          <w:rFonts w:hint="eastAsia" w:ascii="宋体" w:hAnsi="宋体" w:eastAsia="宋体" w:cs="Times New Roman"/>
          <w:sz w:val="24"/>
          <w:szCs w:val="20"/>
        </w:rPr>
        <w:t>项目名称：</w:t>
      </w:r>
      <w:r>
        <w:rPr>
          <w:rFonts w:hint="eastAsia" w:ascii="宋体" w:hAnsi="宋体" w:eastAsia="宋体" w:cs="宋体"/>
          <w:sz w:val="24"/>
          <w:szCs w:val="24"/>
          <w:u w:val="single"/>
          <w:lang w:eastAsia="zh-CN"/>
        </w:rPr>
        <w:t>济南车桥公司桥壳加工线起重设备改造技改项目</w:t>
      </w:r>
    </w:p>
    <w:p w14:paraId="06ED2022">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重汽（济南）车桥有限公司</w:t>
      </w:r>
      <w:r>
        <w:rPr>
          <w:rFonts w:hint="eastAsia" w:ascii="宋体" w:hAnsi="宋体" w:eastAsia="宋体" w:cs="Times New Roman"/>
          <w:b/>
          <w:bCs/>
          <w:sz w:val="24"/>
          <w:szCs w:val="20"/>
        </w:rPr>
        <w:t>：</w:t>
      </w:r>
    </w:p>
    <w:p w14:paraId="3A1B9D85">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40A77FA3">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p>
    <w:p w14:paraId="121FFA7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9C321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0B712C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B7A810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A0D9C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946AAD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2224A9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979172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13397F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9CA148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B88F7B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B0CEEB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1F3B9B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3F46FF5">
      <w:pPr>
        <w:spacing w:line="360" w:lineRule="auto"/>
        <w:ind w:firstLine="480" w:firstLineChars="200"/>
        <w:rPr>
          <w:rFonts w:ascii="宋体" w:hAnsi="宋体" w:eastAsia="宋体" w:cs="Times New Roman"/>
          <w:sz w:val="24"/>
          <w:szCs w:val="20"/>
          <w:u w:val="single"/>
        </w:rPr>
      </w:pPr>
    </w:p>
    <w:p w14:paraId="060C7B5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033EA08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616DB90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EE77244">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4231E27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hint="eastAsia" w:ascii="Times New Roman" w:hAnsi="Times New Roman" w:eastAsia="宋体" w:cs="Times New Roman"/>
          <w:b/>
          <w:bCs/>
          <w:color w:val="000000"/>
          <w:sz w:val="24"/>
          <w:szCs w:val="24"/>
        </w:rPr>
        <w:t>技术规格偏离表</w:t>
      </w:r>
    </w:p>
    <w:p w14:paraId="2B992AA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u w:val="single"/>
          <w:lang w:eastAsia="zh-CN"/>
        </w:rPr>
        <w:t>济南车桥公司桥壳加工线起重设备改造技改项目</w:t>
      </w:r>
      <w:r>
        <w:rPr>
          <w:rFonts w:ascii="宋体" w:hAnsi="宋体" w:eastAsia="宋体" w:cs="Times New Roman"/>
          <w:color w:val="000000"/>
          <w:sz w:val="24"/>
          <w:szCs w:val="24"/>
        </w:rPr>
        <w:t xml:space="preserve">                                                           </w:t>
      </w:r>
    </w:p>
    <w:tbl>
      <w:tblPr>
        <w:tblStyle w:val="3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3D304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1CE0B626">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2DF21AFF">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26C0AB8F">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72A913F7">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0EB7A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C598089">
            <w:pPr>
              <w:jc w:val="center"/>
              <w:rPr>
                <w:rFonts w:ascii="Times New Roman" w:hAnsi="Times New Roman" w:eastAsia="宋体" w:cs="Times New Roman"/>
                <w:b/>
                <w:sz w:val="24"/>
                <w:szCs w:val="20"/>
              </w:rPr>
            </w:pPr>
          </w:p>
        </w:tc>
        <w:tc>
          <w:tcPr>
            <w:tcW w:w="3449" w:type="dxa"/>
          </w:tcPr>
          <w:p w14:paraId="2A7A901C">
            <w:pPr>
              <w:jc w:val="center"/>
              <w:rPr>
                <w:rFonts w:ascii="Times New Roman" w:hAnsi="Times New Roman" w:eastAsia="宋体" w:cs="Times New Roman"/>
                <w:b/>
                <w:sz w:val="24"/>
                <w:szCs w:val="20"/>
              </w:rPr>
            </w:pPr>
          </w:p>
        </w:tc>
        <w:tc>
          <w:tcPr>
            <w:tcW w:w="2414" w:type="dxa"/>
          </w:tcPr>
          <w:p w14:paraId="7F26E2BB">
            <w:pPr>
              <w:jc w:val="center"/>
              <w:rPr>
                <w:rFonts w:ascii="Times New Roman" w:hAnsi="Times New Roman" w:eastAsia="宋体" w:cs="Times New Roman"/>
                <w:b/>
                <w:sz w:val="24"/>
                <w:szCs w:val="20"/>
              </w:rPr>
            </w:pPr>
          </w:p>
        </w:tc>
        <w:tc>
          <w:tcPr>
            <w:tcW w:w="1608" w:type="dxa"/>
          </w:tcPr>
          <w:p w14:paraId="1A592F2F">
            <w:pPr>
              <w:jc w:val="center"/>
              <w:rPr>
                <w:rFonts w:ascii="Times New Roman" w:hAnsi="Times New Roman" w:eastAsia="宋体" w:cs="Times New Roman"/>
                <w:b/>
                <w:sz w:val="24"/>
                <w:szCs w:val="20"/>
              </w:rPr>
            </w:pPr>
          </w:p>
        </w:tc>
      </w:tr>
      <w:tr w14:paraId="12C91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8F24D71">
            <w:pPr>
              <w:jc w:val="center"/>
              <w:rPr>
                <w:rFonts w:ascii="Times New Roman" w:hAnsi="Times New Roman" w:eastAsia="宋体" w:cs="Times New Roman"/>
                <w:b/>
                <w:sz w:val="24"/>
                <w:szCs w:val="20"/>
              </w:rPr>
            </w:pPr>
          </w:p>
        </w:tc>
        <w:tc>
          <w:tcPr>
            <w:tcW w:w="3449" w:type="dxa"/>
          </w:tcPr>
          <w:p w14:paraId="3B91F749">
            <w:pPr>
              <w:jc w:val="center"/>
              <w:rPr>
                <w:rFonts w:ascii="Times New Roman" w:hAnsi="Times New Roman" w:eastAsia="宋体" w:cs="Times New Roman"/>
                <w:b/>
                <w:sz w:val="24"/>
                <w:szCs w:val="20"/>
              </w:rPr>
            </w:pPr>
          </w:p>
        </w:tc>
        <w:tc>
          <w:tcPr>
            <w:tcW w:w="2414" w:type="dxa"/>
          </w:tcPr>
          <w:p w14:paraId="24DB108F">
            <w:pPr>
              <w:jc w:val="center"/>
              <w:rPr>
                <w:rFonts w:ascii="Times New Roman" w:hAnsi="Times New Roman" w:eastAsia="宋体" w:cs="Times New Roman"/>
                <w:b/>
                <w:sz w:val="24"/>
                <w:szCs w:val="20"/>
              </w:rPr>
            </w:pPr>
          </w:p>
        </w:tc>
        <w:tc>
          <w:tcPr>
            <w:tcW w:w="1608" w:type="dxa"/>
          </w:tcPr>
          <w:p w14:paraId="5FCE0DA5">
            <w:pPr>
              <w:jc w:val="center"/>
              <w:rPr>
                <w:rFonts w:ascii="Times New Roman" w:hAnsi="Times New Roman" w:eastAsia="宋体" w:cs="Times New Roman"/>
                <w:b/>
                <w:sz w:val="24"/>
                <w:szCs w:val="20"/>
              </w:rPr>
            </w:pPr>
          </w:p>
        </w:tc>
      </w:tr>
      <w:tr w14:paraId="7708B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6FDEFA0">
            <w:pPr>
              <w:jc w:val="center"/>
              <w:rPr>
                <w:rFonts w:ascii="Times New Roman" w:hAnsi="Times New Roman" w:eastAsia="宋体" w:cs="Times New Roman"/>
                <w:b/>
                <w:sz w:val="24"/>
                <w:szCs w:val="20"/>
              </w:rPr>
            </w:pPr>
          </w:p>
        </w:tc>
        <w:tc>
          <w:tcPr>
            <w:tcW w:w="3449" w:type="dxa"/>
          </w:tcPr>
          <w:p w14:paraId="2464C71F">
            <w:pPr>
              <w:jc w:val="center"/>
              <w:rPr>
                <w:rFonts w:ascii="Times New Roman" w:hAnsi="Times New Roman" w:eastAsia="宋体" w:cs="Times New Roman"/>
                <w:b/>
                <w:sz w:val="24"/>
                <w:szCs w:val="20"/>
              </w:rPr>
            </w:pPr>
          </w:p>
        </w:tc>
        <w:tc>
          <w:tcPr>
            <w:tcW w:w="2414" w:type="dxa"/>
          </w:tcPr>
          <w:p w14:paraId="30A37123">
            <w:pPr>
              <w:jc w:val="center"/>
              <w:rPr>
                <w:rFonts w:ascii="Times New Roman" w:hAnsi="Times New Roman" w:eastAsia="宋体" w:cs="Times New Roman"/>
                <w:b/>
                <w:sz w:val="24"/>
                <w:szCs w:val="20"/>
              </w:rPr>
            </w:pPr>
          </w:p>
        </w:tc>
        <w:tc>
          <w:tcPr>
            <w:tcW w:w="1608" w:type="dxa"/>
          </w:tcPr>
          <w:p w14:paraId="249BCD61">
            <w:pPr>
              <w:jc w:val="center"/>
              <w:rPr>
                <w:rFonts w:ascii="Times New Roman" w:hAnsi="Times New Roman" w:eastAsia="宋体" w:cs="Times New Roman"/>
                <w:b/>
                <w:sz w:val="24"/>
                <w:szCs w:val="20"/>
              </w:rPr>
            </w:pPr>
          </w:p>
        </w:tc>
      </w:tr>
      <w:tr w14:paraId="77B43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722F2B90">
            <w:pPr>
              <w:jc w:val="center"/>
              <w:rPr>
                <w:rFonts w:ascii="Times New Roman" w:hAnsi="Times New Roman" w:eastAsia="宋体" w:cs="Times New Roman"/>
                <w:b/>
                <w:sz w:val="24"/>
                <w:szCs w:val="20"/>
              </w:rPr>
            </w:pPr>
          </w:p>
        </w:tc>
        <w:tc>
          <w:tcPr>
            <w:tcW w:w="3449" w:type="dxa"/>
          </w:tcPr>
          <w:p w14:paraId="4ABF7EBE">
            <w:pPr>
              <w:jc w:val="center"/>
              <w:rPr>
                <w:rFonts w:ascii="Times New Roman" w:hAnsi="Times New Roman" w:eastAsia="宋体" w:cs="Times New Roman"/>
                <w:b/>
                <w:sz w:val="24"/>
                <w:szCs w:val="20"/>
              </w:rPr>
            </w:pPr>
          </w:p>
        </w:tc>
        <w:tc>
          <w:tcPr>
            <w:tcW w:w="2414" w:type="dxa"/>
          </w:tcPr>
          <w:p w14:paraId="27D7DDE2">
            <w:pPr>
              <w:jc w:val="center"/>
              <w:rPr>
                <w:rFonts w:ascii="Times New Roman" w:hAnsi="Times New Roman" w:eastAsia="宋体" w:cs="Times New Roman"/>
                <w:b/>
                <w:sz w:val="24"/>
                <w:szCs w:val="20"/>
              </w:rPr>
            </w:pPr>
          </w:p>
        </w:tc>
        <w:tc>
          <w:tcPr>
            <w:tcW w:w="1608" w:type="dxa"/>
          </w:tcPr>
          <w:p w14:paraId="0760F6F7">
            <w:pPr>
              <w:jc w:val="center"/>
              <w:rPr>
                <w:rFonts w:ascii="Times New Roman" w:hAnsi="Times New Roman" w:eastAsia="宋体" w:cs="Times New Roman"/>
                <w:b/>
                <w:sz w:val="24"/>
                <w:szCs w:val="20"/>
              </w:rPr>
            </w:pPr>
          </w:p>
        </w:tc>
      </w:tr>
      <w:tr w14:paraId="6FE0B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B9B9D75">
            <w:pPr>
              <w:jc w:val="center"/>
              <w:rPr>
                <w:rFonts w:ascii="Times New Roman" w:hAnsi="Times New Roman" w:eastAsia="宋体" w:cs="Times New Roman"/>
                <w:b/>
                <w:sz w:val="24"/>
                <w:szCs w:val="20"/>
              </w:rPr>
            </w:pPr>
          </w:p>
        </w:tc>
        <w:tc>
          <w:tcPr>
            <w:tcW w:w="3449" w:type="dxa"/>
          </w:tcPr>
          <w:p w14:paraId="686434CA">
            <w:pPr>
              <w:jc w:val="center"/>
              <w:rPr>
                <w:rFonts w:ascii="Times New Roman" w:hAnsi="Times New Roman" w:eastAsia="宋体" w:cs="Times New Roman"/>
                <w:b/>
                <w:sz w:val="24"/>
                <w:szCs w:val="20"/>
              </w:rPr>
            </w:pPr>
          </w:p>
        </w:tc>
        <w:tc>
          <w:tcPr>
            <w:tcW w:w="2414" w:type="dxa"/>
          </w:tcPr>
          <w:p w14:paraId="4B5E45C8">
            <w:pPr>
              <w:jc w:val="center"/>
              <w:rPr>
                <w:rFonts w:ascii="Times New Roman" w:hAnsi="Times New Roman" w:eastAsia="宋体" w:cs="Times New Roman"/>
                <w:b/>
                <w:sz w:val="24"/>
                <w:szCs w:val="20"/>
              </w:rPr>
            </w:pPr>
          </w:p>
        </w:tc>
        <w:tc>
          <w:tcPr>
            <w:tcW w:w="1608" w:type="dxa"/>
          </w:tcPr>
          <w:p w14:paraId="41129F82">
            <w:pPr>
              <w:jc w:val="center"/>
              <w:rPr>
                <w:rFonts w:ascii="Times New Roman" w:hAnsi="Times New Roman" w:eastAsia="宋体" w:cs="Times New Roman"/>
                <w:b/>
                <w:sz w:val="24"/>
                <w:szCs w:val="20"/>
              </w:rPr>
            </w:pPr>
          </w:p>
        </w:tc>
      </w:tr>
      <w:tr w14:paraId="5CB0B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C9CD418">
            <w:pPr>
              <w:jc w:val="center"/>
              <w:rPr>
                <w:rFonts w:ascii="Times New Roman" w:hAnsi="Times New Roman" w:eastAsia="宋体" w:cs="Times New Roman"/>
                <w:b/>
                <w:sz w:val="24"/>
                <w:szCs w:val="20"/>
              </w:rPr>
            </w:pPr>
          </w:p>
        </w:tc>
        <w:tc>
          <w:tcPr>
            <w:tcW w:w="3449" w:type="dxa"/>
          </w:tcPr>
          <w:p w14:paraId="7AD2AF20">
            <w:pPr>
              <w:jc w:val="center"/>
              <w:rPr>
                <w:rFonts w:ascii="Times New Roman" w:hAnsi="Times New Roman" w:eastAsia="宋体" w:cs="Times New Roman"/>
                <w:b/>
                <w:sz w:val="24"/>
                <w:szCs w:val="20"/>
              </w:rPr>
            </w:pPr>
          </w:p>
        </w:tc>
        <w:tc>
          <w:tcPr>
            <w:tcW w:w="2414" w:type="dxa"/>
          </w:tcPr>
          <w:p w14:paraId="41F90813">
            <w:pPr>
              <w:jc w:val="center"/>
              <w:rPr>
                <w:rFonts w:ascii="Times New Roman" w:hAnsi="Times New Roman" w:eastAsia="宋体" w:cs="Times New Roman"/>
                <w:b/>
                <w:sz w:val="24"/>
                <w:szCs w:val="20"/>
              </w:rPr>
            </w:pPr>
          </w:p>
        </w:tc>
        <w:tc>
          <w:tcPr>
            <w:tcW w:w="1608" w:type="dxa"/>
          </w:tcPr>
          <w:p w14:paraId="225FF439">
            <w:pPr>
              <w:jc w:val="center"/>
              <w:rPr>
                <w:rFonts w:ascii="Times New Roman" w:hAnsi="Times New Roman" w:eastAsia="宋体" w:cs="Times New Roman"/>
                <w:b/>
                <w:sz w:val="24"/>
                <w:szCs w:val="20"/>
              </w:rPr>
            </w:pPr>
          </w:p>
        </w:tc>
      </w:tr>
      <w:tr w14:paraId="4B721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987B99B">
            <w:pPr>
              <w:jc w:val="center"/>
              <w:rPr>
                <w:rFonts w:ascii="Times New Roman" w:hAnsi="Times New Roman" w:eastAsia="宋体" w:cs="Times New Roman"/>
                <w:b/>
                <w:sz w:val="24"/>
                <w:szCs w:val="20"/>
              </w:rPr>
            </w:pPr>
          </w:p>
        </w:tc>
        <w:tc>
          <w:tcPr>
            <w:tcW w:w="3449" w:type="dxa"/>
          </w:tcPr>
          <w:p w14:paraId="211727A3">
            <w:pPr>
              <w:jc w:val="center"/>
              <w:rPr>
                <w:rFonts w:ascii="Times New Roman" w:hAnsi="Times New Roman" w:eastAsia="宋体" w:cs="Times New Roman"/>
                <w:b/>
                <w:sz w:val="24"/>
                <w:szCs w:val="20"/>
              </w:rPr>
            </w:pPr>
          </w:p>
        </w:tc>
        <w:tc>
          <w:tcPr>
            <w:tcW w:w="2414" w:type="dxa"/>
          </w:tcPr>
          <w:p w14:paraId="1EDF224C">
            <w:pPr>
              <w:jc w:val="center"/>
              <w:rPr>
                <w:rFonts w:ascii="Times New Roman" w:hAnsi="Times New Roman" w:eastAsia="宋体" w:cs="Times New Roman"/>
                <w:b/>
                <w:sz w:val="24"/>
                <w:szCs w:val="20"/>
              </w:rPr>
            </w:pPr>
          </w:p>
        </w:tc>
        <w:tc>
          <w:tcPr>
            <w:tcW w:w="1608" w:type="dxa"/>
          </w:tcPr>
          <w:p w14:paraId="58E2FE52">
            <w:pPr>
              <w:jc w:val="center"/>
              <w:rPr>
                <w:rFonts w:ascii="Times New Roman" w:hAnsi="Times New Roman" w:eastAsia="宋体" w:cs="Times New Roman"/>
                <w:b/>
                <w:sz w:val="24"/>
                <w:szCs w:val="20"/>
              </w:rPr>
            </w:pPr>
          </w:p>
        </w:tc>
      </w:tr>
      <w:tr w14:paraId="211CF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79C5DD0">
            <w:pPr>
              <w:jc w:val="center"/>
              <w:rPr>
                <w:rFonts w:ascii="Times New Roman" w:hAnsi="Times New Roman" w:eastAsia="宋体" w:cs="Times New Roman"/>
                <w:b/>
                <w:sz w:val="24"/>
                <w:szCs w:val="20"/>
              </w:rPr>
            </w:pPr>
          </w:p>
        </w:tc>
        <w:tc>
          <w:tcPr>
            <w:tcW w:w="3449" w:type="dxa"/>
          </w:tcPr>
          <w:p w14:paraId="6AF1A065">
            <w:pPr>
              <w:jc w:val="center"/>
              <w:rPr>
                <w:rFonts w:ascii="Times New Roman" w:hAnsi="Times New Roman" w:eastAsia="宋体" w:cs="Times New Roman"/>
                <w:b/>
                <w:sz w:val="24"/>
                <w:szCs w:val="20"/>
              </w:rPr>
            </w:pPr>
          </w:p>
        </w:tc>
        <w:tc>
          <w:tcPr>
            <w:tcW w:w="2414" w:type="dxa"/>
          </w:tcPr>
          <w:p w14:paraId="6BC42F04">
            <w:pPr>
              <w:jc w:val="center"/>
              <w:rPr>
                <w:rFonts w:ascii="Times New Roman" w:hAnsi="Times New Roman" w:eastAsia="宋体" w:cs="Times New Roman"/>
                <w:b/>
                <w:sz w:val="24"/>
                <w:szCs w:val="20"/>
              </w:rPr>
            </w:pPr>
          </w:p>
        </w:tc>
        <w:tc>
          <w:tcPr>
            <w:tcW w:w="1608" w:type="dxa"/>
          </w:tcPr>
          <w:p w14:paraId="6D25162F">
            <w:pPr>
              <w:jc w:val="center"/>
              <w:rPr>
                <w:rFonts w:ascii="Times New Roman" w:hAnsi="Times New Roman" w:eastAsia="宋体" w:cs="Times New Roman"/>
                <w:b/>
                <w:sz w:val="24"/>
                <w:szCs w:val="20"/>
              </w:rPr>
            </w:pPr>
          </w:p>
        </w:tc>
      </w:tr>
      <w:tr w14:paraId="6C1E5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9C45537">
            <w:pPr>
              <w:jc w:val="center"/>
              <w:rPr>
                <w:rFonts w:ascii="Times New Roman" w:hAnsi="Times New Roman" w:eastAsia="宋体" w:cs="Times New Roman"/>
                <w:b/>
                <w:sz w:val="24"/>
                <w:szCs w:val="20"/>
              </w:rPr>
            </w:pPr>
          </w:p>
        </w:tc>
        <w:tc>
          <w:tcPr>
            <w:tcW w:w="3449" w:type="dxa"/>
          </w:tcPr>
          <w:p w14:paraId="3593E01B">
            <w:pPr>
              <w:jc w:val="center"/>
              <w:rPr>
                <w:rFonts w:ascii="Times New Roman" w:hAnsi="Times New Roman" w:eastAsia="宋体" w:cs="Times New Roman"/>
                <w:b/>
                <w:sz w:val="24"/>
                <w:szCs w:val="20"/>
              </w:rPr>
            </w:pPr>
          </w:p>
        </w:tc>
        <w:tc>
          <w:tcPr>
            <w:tcW w:w="2414" w:type="dxa"/>
          </w:tcPr>
          <w:p w14:paraId="3C67AF6C">
            <w:pPr>
              <w:jc w:val="center"/>
              <w:rPr>
                <w:rFonts w:ascii="Times New Roman" w:hAnsi="Times New Roman" w:eastAsia="宋体" w:cs="Times New Roman"/>
                <w:b/>
                <w:sz w:val="24"/>
                <w:szCs w:val="20"/>
              </w:rPr>
            </w:pPr>
          </w:p>
        </w:tc>
        <w:tc>
          <w:tcPr>
            <w:tcW w:w="1608" w:type="dxa"/>
          </w:tcPr>
          <w:p w14:paraId="4937E9B8">
            <w:pPr>
              <w:jc w:val="center"/>
              <w:rPr>
                <w:rFonts w:ascii="Times New Roman" w:hAnsi="Times New Roman" w:eastAsia="宋体" w:cs="Times New Roman"/>
                <w:b/>
                <w:sz w:val="24"/>
                <w:szCs w:val="20"/>
              </w:rPr>
            </w:pPr>
          </w:p>
        </w:tc>
      </w:tr>
      <w:tr w14:paraId="2C410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18E8DBEA">
            <w:pPr>
              <w:jc w:val="center"/>
              <w:rPr>
                <w:rFonts w:ascii="Times New Roman" w:hAnsi="Times New Roman" w:eastAsia="宋体" w:cs="Times New Roman"/>
                <w:b/>
                <w:sz w:val="24"/>
                <w:szCs w:val="20"/>
              </w:rPr>
            </w:pPr>
          </w:p>
        </w:tc>
        <w:tc>
          <w:tcPr>
            <w:tcW w:w="3449" w:type="dxa"/>
          </w:tcPr>
          <w:p w14:paraId="694D2E77">
            <w:pPr>
              <w:jc w:val="center"/>
              <w:rPr>
                <w:rFonts w:ascii="Times New Roman" w:hAnsi="Times New Roman" w:eastAsia="宋体" w:cs="Times New Roman"/>
                <w:b/>
                <w:sz w:val="24"/>
                <w:szCs w:val="20"/>
              </w:rPr>
            </w:pPr>
          </w:p>
        </w:tc>
        <w:tc>
          <w:tcPr>
            <w:tcW w:w="2414" w:type="dxa"/>
          </w:tcPr>
          <w:p w14:paraId="10E9FE0B">
            <w:pPr>
              <w:jc w:val="center"/>
              <w:rPr>
                <w:rFonts w:ascii="Times New Roman" w:hAnsi="Times New Roman" w:eastAsia="宋体" w:cs="Times New Roman"/>
                <w:b/>
                <w:sz w:val="24"/>
                <w:szCs w:val="20"/>
              </w:rPr>
            </w:pPr>
          </w:p>
        </w:tc>
        <w:tc>
          <w:tcPr>
            <w:tcW w:w="1608" w:type="dxa"/>
          </w:tcPr>
          <w:p w14:paraId="38C66174">
            <w:pPr>
              <w:jc w:val="center"/>
              <w:rPr>
                <w:rFonts w:ascii="Times New Roman" w:hAnsi="Times New Roman" w:eastAsia="宋体" w:cs="Times New Roman"/>
                <w:b/>
                <w:sz w:val="24"/>
                <w:szCs w:val="20"/>
              </w:rPr>
            </w:pPr>
          </w:p>
        </w:tc>
      </w:tr>
      <w:tr w14:paraId="5EFC4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5C08D85">
            <w:pPr>
              <w:jc w:val="center"/>
              <w:rPr>
                <w:rFonts w:ascii="Times New Roman" w:hAnsi="Times New Roman" w:eastAsia="宋体" w:cs="Times New Roman"/>
                <w:b/>
                <w:sz w:val="24"/>
                <w:szCs w:val="20"/>
              </w:rPr>
            </w:pPr>
          </w:p>
        </w:tc>
        <w:tc>
          <w:tcPr>
            <w:tcW w:w="3449" w:type="dxa"/>
          </w:tcPr>
          <w:p w14:paraId="35173329">
            <w:pPr>
              <w:jc w:val="center"/>
              <w:rPr>
                <w:rFonts w:ascii="Times New Roman" w:hAnsi="Times New Roman" w:eastAsia="宋体" w:cs="Times New Roman"/>
                <w:b/>
                <w:sz w:val="24"/>
                <w:szCs w:val="20"/>
              </w:rPr>
            </w:pPr>
          </w:p>
        </w:tc>
        <w:tc>
          <w:tcPr>
            <w:tcW w:w="2414" w:type="dxa"/>
          </w:tcPr>
          <w:p w14:paraId="1E778F86">
            <w:pPr>
              <w:jc w:val="center"/>
              <w:rPr>
                <w:rFonts w:ascii="Times New Roman" w:hAnsi="Times New Roman" w:eastAsia="宋体" w:cs="Times New Roman"/>
                <w:b/>
                <w:sz w:val="24"/>
                <w:szCs w:val="20"/>
              </w:rPr>
            </w:pPr>
          </w:p>
        </w:tc>
        <w:tc>
          <w:tcPr>
            <w:tcW w:w="1608" w:type="dxa"/>
          </w:tcPr>
          <w:p w14:paraId="018C0F1A">
            <w:pPr>
              <w:jc w:val="center"/>
              <w:rPr>
                <w:rFonts w:ascii="Times New Roman" w:hAnsi="Times New Roman" w:eastAsia="宋体" w:cs="Times New Roman"/>
                <w:b/>
                <w:sz w:val="24"/>
                <w:szCs w:val="20"/>
              </w:rPr>
            </w:pPr>
          </w:p>
        </w:tc>
      </w:tr>
    </w:tbl>
    <w:p w14:paraId="3FABFE0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66D64145">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24E20DF">
      <w:pPr>
        <w:rPr>
          <w:rFonts w:ascii="宋体" w:hAnsi="Calibri" w:eastAsia="宋体" w:cs="宋体"/>
          <w:b/>
          <w:bCs/>
          <w:color w:val="000000"/>
          <w:sz w:val="28"/>
          <w:szCs w:val="20"/>
        </w:rPr>
      </w:pPr>
    </w:p>
    <w:p w14:paraId="0CD45DCD">
      <w:pPr>
        <w:rPr>
          <w:rFonts w:ascii="宋体" w:hAnsi="Calibri" w:eastAsia="宋体" w:cs="宋体"/>
          <w:b/>
          <w:bCs/>
          <w:color w:val="000000"/>
          <w:sz w:val="28"/>
          <w:szCs w:val="20"/>
        </w:rPr>
      </w:pPr>
    </w:p>
    <w:p w14:paraId="41C2A1A3">
      <w:pPr>
        <w:pStyle w:val="2"/>
        <w:rPr>
          <w:rFonts w:ascii="宋体" w:hAnsi="Calibri" w:eastAsia="宋体" w:cs="宋体"/>
          <w:b/>
          <w:bCs/>
          <w:color w:val="000000"/>
          <w:sz w:val="28"/>
          <w:szCs w:val="20"/>
        </w:rPr>
      </w:pPr>
    </w:p>
    <w:p w14:paraId="3F0E2D86">
      <w:pPr>
        <w:pStyle w:val="3"/>
        <w:rPr>
          <w:rFonts w:ascii="宋体" w:hAnsi="Calibri" w:eastAsia="宋体" w:cs="宋体"/>
          <w:b/>
          <w:bCs/>
          <w:color w:val="000000"/>
          <w:sz w:val="28"/>
          <w:szCs w:val="20"/>
        </w:rPr>
      </w:pPr>
    </w:p>
    <w:p w14:paraId="0384983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rPr>
        <w:t>设</w:t>
      </w:r>
      <w:r>
        <w:rPr>
          <w:rFonts w:ascii="宋体" w:hAnsi="宋体" w:eastAsia="宋体" w:cs="宋体"/>
          <w:spacing w:val="8"/>
          <w:sz w:val="24"/>
          <w:szCs w:val="24"/>
        </w:rPr>
        <w:t>备分项</w:t>
      </w:r>
      <w:r>
        <w:rPr>
          <w:rFonts w:hint="eastAsia" w:ascii="宋体" w:hAnsi="宋体" w:eastAsia="宋体" w:cs="宋体"/>
          <w:spacing w:val="8"/>
          <w:sz w:val="24"/>
          <w:szCs w:val="24"/>
          <w:highlight w:val="yellow"/>
          <w:lang w:val="en-US" w:eastAsia="zh-CN"/>
        </w:rPr>
        <w:t>配置</w:t>
      </w:r>
    </w:p>
    <w:p w14:paraId="01D44E3A">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rPr>
        <w:t>设</w:t>
      </w:r>
      <w:r>
        <w:rPr>
          <w:rFonts w:ascii="宋体" w:hAnsi="宋体" w:eastAsia="宋体" w:cs="宋体"/>
          <w:spacing w:val="8"/>
          <w:sz w:val="24"/>
          <w:szCs w:val="24"/>
        </w:rPr>
        <w:t>备分项</w:t>
      </w:r>
      <w:r>
        <w:rPr>
          <w:rFonts w:hint="eastAsia" w:ascii="宋体" w:hAnsi="宋体" w:eastAsia="宋体" w:cs="宋体"/>
          <w:spacing w:val="8"/>
          <w:sz w:val="24"/>
          <w:szCs w:val="24"/>
          <w:highlight w:val="yellow"/>
          <w:lang w:val="en-US" w:eastAsia="zh-CN"/>
        </w:rPr>
        <w:t>配置</w:t>
      </w:r>
      <w:r>
        <w:rPr>
          <w:rFonts w:ascii="宋体" w:hAnsi="宋体" w:eastAsia="宋体" w:cs="宋体"/>
          <w:spacing w:val="8"/>
          <w:sz w:val="24"/>
          <w:szCs w:val="24"/>
        </w:rPr>
        <w:t>表</w:t>
      </w:r>
    </w:p>
    <w:p w14:paraId="3E4D2129">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第   页</w:t>
      </w:r>
      <w:r>
        <w:rPr>
          <w:rFonts w:hint="eastAsia" w:ascii="宋体" w:hAnsi="宋体" w:eastAsia="宋体" w:cs="宋体"/>
          <w:szCs w:val="21"/>
        </w:rPr>
        <w:t xml:space="preserve"> </w:t>
      </w:r>
      <w:r>
        <w:rPr>
          <w:rFonts w:ascii="宋体" w:hAnsi="宋体" w:eastAsia="宋体" w:cs="宋体"/>
          <w:szCs w:val="21"/>
        </w:rPr>
        <w:t>共</w:t>
      </w:r>
      <w:r>
        <w:rPr>
          <w:rFonts w:hint="eastAsia" w:ascii="宋体" w:hAnsi="宋体" w:eastAsia="宋体" w:cs="宋体"/>
          <w:szCs w:val="21"/>
        </w:rPr>
        <w:t xml:space="preserve">  </w:t>
      </w:r>
      <w:r>
        <w:rPr>
          <w:rFonts w:ascii="宋体" w:hAnsi="宋体" w:eastAsia="宋体" w:cs="宋体"/>
          <w:szCs w:val="21"/>
        </w:rPr>
        <w:t>页</w:t>
      </w:r>
    </w:p>
    <w:tbl>
      <w:tblPr>
        <w:tblStyle w:val="129"/>
        <w:tblW w:w="1399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82"/>
        <w:gridCol w:w="2605"/>
        <w:gridCol w:w="2606"/>
        <w:gridCol w:w="1554"/>
        <w:gridCol w:w="2123"/>
        <w:gridCol w:w="2749"/>
        <w:gridCol w:w="1577"/>
      </w:tblGrid>
      <w:tr w14:paraId="1B8695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782" w:type="dxa"/>
            <w:noWrap w:val="0"/>
            <w:vAlign w:val="top"/>
          </w:tcPr>
          <w:p w14:paraId="1759EA10">
            <w:pPr>
              <w:spacing w:before="97" w:line="186" w:lineRule="auto"/>
              <w:ind w:left="304"/>
              <w:rPr>
                <w:rFonts w:ascii="宋体" w:hAnsi="宋体" w:eastAsia="宋体" w:cs="宋体"/>
                <w:szCs w:val="21"/>
              </w:rPr>
            </w:pPr>
            <w:r>
              <w:rPr>
                <w:rFonts w:ascii="宋体" w:hAnsi="宋体" w:eastAsia="宋体" w:cs="宋体"/>
                <w:szCs w:val="21"/>
              </w:rPr>
              <w:t>1</w:t>
            </w:r>
          </w:p>
        </w:tc>
        <w:tc>
          <w:tcPr>
            <w:tcW w:w="2605" w:type="dxa"/>
            <w:noWrap w:val="0"/>
            <w:vAlign w:val="top"/>
          </w:tcPr>
          <w:p w14:paraId="621F6B9A">
            <w:pPr>
              <w:spacing w:before="98" w:line="185" w:lineRule="auto"/>
              <w:ind w:left="1071"/>
              <w:rPr>
                <w:rFonts w:ascii="宋体" w:hAnsi="宋体" w:eastAsia="宋体" w:cs="宋体"/>
                <w:szCs w:val="21"/>
              </w:rPr>
            </w:pPr>
            <w:r>
              <w:rPr>
                <w:rFonts w:ascii="宋体" w:hAnsi="宋体" w:eastAsia="宋体" w:cs="宋体"/>
                <w:szCs w:val="21"/>
              </w:rPr>
              <w:t>2</w:t>
            </w:r>
          </w:p>
        </w:tc>
        <w:tc>
          <w:tcPr>
            <w:tcW w:w="2606" w:type="dxa"/>
            <w:noWrap w:val="0"/>
            <w:vAlign w:val="top"/>
          </w:tcPr>
          <w:p w14:paraId="2675777A">
            <w:pPr>
              <w:spacing w:before="99" w:line="183" w:lineRule="auto"/>
              <w:ind w:left="1075"/>
              <w:rPr>
                <w:rFonts w:ascii="宋体" w:hAnsi="宋体" w:eastAsia="宋体" w:cs="宋体"/>
                <w:szCs w:val="21"/>
              </w:rPr>
            </w:pPr>
            <w:r>
              <w:rPr>
                <w:rFonts w:ascii="宋体" w:hAnsi="宋体" w:eastAsia="宋体" w:cs="宋体"/>
                <w:szCs w:val="21"/>
              </w:rPr>
              <w:t>3</w:t>
            </w:r>
          </w:p>
        </w:tc>
        <w:tc>
          <w:tcPr>
            <w:tcW w:w="1554" w:type="dxa"/>
            <w:noWrap w:val="0"/>
            <w:vAlign w:val="top"/>
          </w:tcPr>
          <w:p w14:paraId="2BD503A8">
            <w:pPr>
              <w:spacing w:before="98" w:line="185" w:lineRule="auto"/>
              <w:ind w:left="511"/>
              <w:rPr>
                <w:rFonts w:ascii="宋体" w:hAnsi="宋体" w:eastAsia="宋体" w:cs="宋体"/>
                <w:szCs w:val="21"/>
              </w:rPr>
            </w:pPr>
            <w:r>
              <w:rPr>
                <w:rFonts w:ascii="宋体" w:hAnsi="宋体" w:eastAsia="宋体" w:cs="宋体"/>
                <w:szCs w:val="21"/>
              </w:rPr>
              <w:t>4</w:t>
            </w:r>
          </w:p>
        </w:tc>
        <w:tc>
          <w:tcPr>
            <w:tcW w:w="2123" w:type="dxa"/>
            <w:noWrap w:val="0"/>
            <w:vAlign w:val="top"/>
          </w:tcPr>
          <w:p w14:paraId="07FF5717">
            <w:pPr>
              <w:spacing w:before="100" w:line="182" w:lineRule="auto"/>
              <w:ind w:left="798"/>
              <w:rPr>
                <w:rFonts w:ascii="宋体" w:hAnsi="宋体" w:eastAsia="宋体" w:cs="宋体"/>
                <w:szCs w:val="21"/>
              </w:rPr>
            </w:pPr>
            <w:r>
              <w:rPr>
                <w:rFonts w:ascii="宋体" w:hAnsi="宋体" w:eastAsia="宋体" w:cs="宋体"/>
                <w:szCs w:val="21"/>
              </w:rPr>
              <w:t>5</w:t>
            </w:r>
          </w:p>
        </w:tc>
        <w:tc>
          <w:tcPr>
            <w:tcW w:w="2749" w:type="dxa"/>
            <w:tcBorders>
              <w:left w:val="single" w:color="000000" w:sz="4" w:space="0"/>
            </w:tcBorders>
            <w:noWrap w:val="0"/>
            <w:vAlign w:val="top"/>
          </w:tcPr>
          <w:p w14:paraId="114A88B8">
            <w:pPr>
              <w:spacing w:before="100" w:line="182" w:lineRule="auto"/>
              <w:ind w:left="1007"/>
              <w:rPr>
                <w:rFonts w:ascii="宋体" w:hAnsi="宋体" w:eastAsia="宋体" w:cs="宋体"/>
                <w:szCs w:val="21"/>
              </w:rPr>
            </w:pPr>
            <w:r>
              <w:rPr>
                <w:rFonts w:ascii="宋体" w:hAnsi="宋体" w:eastAsia="宋体" w:cs="宋体"/>
                <w:szCs w:val="21"/>
              </w:rPr>
              <w:t>7</w:t>
            </w:r>
          </w:p>
        </w:tc>
        <w:tc>
          <w:tcPr>
            <w:tcW w:w="1577" w:type="dxa"/>
            <w:noWrap w:val="0"/>
            <w:vAlign w:val="top"/>
          </w:tcPr>
          <w:p w14:paraId="1B88A782">
            <w:pPr>
              <w:spacing w:before="99" w:line="183" w:lineRule="auto"/>
              <w:ind w:firstLine="420" w:firstLineChars="200"/>
              <w:rPr>
                <w:rFonts w:ascii="宋体" w:hAnsi="宋体" w:eastAsia="宋体" w:cs="宋体"/>
                <w:szCs w:val="21"/>
              </w:rPr>
            </w:pPr>
            <w:r>
              <w:rPr>
                <w:rFonts w:ascii="宋体" w:hAnsi="宋体" w:eastAsia="宋体" w:cs="宋体"/>
                <w:szCs w:val="21"/>
              </w:rPr>
              <w:t>8</w:t>
            </w:r>
          </w:p>
        </w:tc>
      </w:tr>
      <w:tr w14:paraId="4EA9DB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0" w:hRule="atLeast"/>
        </w:trPr>
        <w:tc>
          <w:tcPr>
            <w:tcW w:w="782" w:type="dxa"/>
            <w:noWrap w:val="0"/>
            <w:vAlign w:val="center"/>
          </w:tcPr>
          <w:p w14:paraId="7375B0A2">
            <w:pPr>
              <w:spacing w:before="0" w:line="221" w:lineRule="auto"/>
              <w:ind w:left="0"/>
              <w:jc w:val="center"/>
              <w:rPr>
                <w:rFonts w:hint="eastAsia" w:ascii="宋体" w:hAnsi="宋体" w:eastAsia="宋体" w:cs="宋体"/>
                <w:spacing w:val="-1"/>
                <w:szCs w:val="21"/>
              </w:rPr>
            </w:pPr>
            <w:r>
              <w:rPr>
                <w:rFonts w:hint="eastAsia" w:ascii="宋体" w:hAnsi="宋体" w:eastAsia="宋体" w:cs="宋体"/>
                <w:spacing w:val="-1"/>
                <w:szCs w:val="21"/>
              </w:rPr>
              <w:t>序号</w:t>
            </w:r>
          </w:p>
        </w:tc>
        <w:tc>
          <w:tcPr>
            <w:tcW w:w="2605" w:type="dxa"/>
            <w:noWrap w:val="0"/>
            <w:vAlign w:val="center"/>
          </w:tcPr>
          <w:p w14:paraId="41BBCBEF">
            <w:pPr>
              <w:spacing w:before="0" w:line="221" w:lineRule="auto"/>
              <w:ind w:left="0"/>
              <w:jc w:val="center"/>
              <w:rPr>
                <w:rFonts w:hint="eastAsia" w:ascii="宋体" w:hAnsi="宋体" w:eastAsia="宋体" w:cs="宋体"/>
                <w:spacing w:val="-1"/>
                <w:szCs w:val="21"/>
              </w:rPr>
            </w:pPr>
            <w:r>
              <w:rPr>
                <w:rFonts w:hint="eastAsia" w:ascii="宋体" w:hAnsi="宋体" w:eastAsia="宋体" w:cs="宋体"/>
                <w:spacing w:val="-1"/>
                <w:szCs w:val="21"/>
              </w:rPr>
              <w:t>货物名称</w:t>
            </w:r>
          </w:p>
        </w:tc>
        <w:tc>
          <w:tcPr>
            <w:tcW w:w="2606" w:type="dxa"/>
            <w:noWrap w:val="0"/>
            <w:vAlign w:val="center"/>
          </w:tcPr>
          <w:p w14:paraId="16F1B805">
            <w:pPr>
              <w:spacing w:before="0" w:line="221" w:lineRule="auto"/>
              <w:ind w:left="0"/>
              <w:jc w:val="center"/>
              <w:rPr>
                <w:rFonts w:hint="eastAsia" w:ascii="宋体" w:hAnsi="宋体" w:eastAsia="宋体" w:cs="宋体"/>
                <w:spacing w:val="-1"/>
                <w:szCs w:val="21"/>
              </w:rPr>
            </w:pPr>
            <w:r>
              <w:rPr>
                <w:rFonts w:hint="eastAsia" w:ascii="宋体" w:hAnsi="宋体" w:eastAsia="宋体" w:cs="宋体"/>
                <w:spacing w:val="-1"/>
                <w:szCs w:val="21"/>
              </w:rPr>
              <w:t>型号和规格</w:t>
            </w:r>
          </w:p>
        </w:tc>
        <w:tc>
          <w:tcPr>
            <w:tcW w:w="1554" w:type="dxa"/>
            <w:noWrap w:val="0"/>
            <w:vAlign w:val="center"/>
          </w:tcPr>
          <w:p w14:paraId="417245D8">
            <w:pPr>
              <w:spacing w:before="0" w:line="221" w:lineRule="auto"/>
              <w:ind w:left="0"/>
              <w:jc w:val="center"/>
              <w:rPr>
                <w:rFonts w:hint="eastAsia" w:ascii="宋体" w:hAnsi="宋体" w:eastAsia="宋体" w:cs="宋体"/>
                <w:spacing w:val="-1"/>
                <w:szCs w:val="21"/>
              </w:rPr>
            </w:pPr>
            <w:r>
              <w:rPr>
                <w:rFonts w:hint="eastAsia" w:ascii="宋体" w:hAnsi="宋体" w:eastAsia="宋体" w:cs="宋体"/>
                <w:spacing w:val="-1"/>
                <w:szCs w:val="21"/>
              </w:rPr>
              <w:t>数量</w:t>
            </w:r>
          </w:p>
        </w:tc>
        <w:tc>
          <w:tcPr>
            <w:tcW w:w="2123" w:type="dxa"/>
            <w:noWrap w:val="0"/>
            <w:vAlign w:val="center"/>
          </w:tcPr>
          <w:p w14:paraId="4DCBF916">
            <w:pPr>
              <w:spacing w:before="0" w:line="221" w:lineRule="auto"/>
              <w:ind w:left="0" w:right="0" w:firstLine="0"/>
              <w:jc w:val="center"/>
              <w:rPr>
                <w:rFonts w:hint="eastAsia" w:ascii="宋体" w:hAnsi="宋体" w:eastAsia="宋体" w:cs="宋体"/>
                <w:spacing w:val="-1"/>
                <w:szCs w:val="21"/>
                <w:lang w:val="en-US" w:eastAsia="zh-CN"/>
              </w:rPr>
            </w:pPr>
            <w:r>
              <w:rPr>
                <w:rFonts w:hint="eastAsia" w:ascii="宋体" w:hAnsi="宋体" w:eastAsia="宋体" w:cs="宋体"/>
                <w:spacing w:val="-1"/>
                <w:szCs w:val="21"/>
                <w:lang w:val="en-US" w:eastAsia="zh-CN"/>
              </w:rPr>
              <w:t>单位</w:t>
            </w:r>
          </w:p>
        </w:tc>
        <w:tc>
          <w:tcPr>
            <w:tcW w:w="2749" w:type="dxa"/>
            <w:tcBorders>
              <w:left w:val="single" w:color="000000" w:sz="4" w:space="0"/>
            </w:tcBorders>
            <w:noWrap w:val="0"/>
            <w:vAlign w:val="center"/>
          </w:tcPr>
          <w:p w14:paraId="553E1AC2">
            <w:pPr>
              <w:spacing w:before="0" w:line="221" w:lineRule="auto"/>
              <w:ind w:left="0" w:leftChars="0" w:firstLine="0" w:firstLineChars="0"/>
              <w:jc w:val="center"/>
              <w:rPr>
                <w:rFonts w:hint="eastAsia" w:ascii="宋体" w:hAnsi="宋体" w:eastAsia="宋体" w:cs="宋体"/>
                <w:spacing w:val="-1"/>
                <w:szCs w:val="21"/>
              </w:rPr>
            </w:pPr>
            <w:r>
              <w:rPr>
                <w:rFonts w:hint="eastAsia" w:ascii="宋体" w:hAnsi="宋体" w:eastAsia="宋体" w:cs="宋体"/>
                <w:spacing w:val="-1"/>
                <w:szCs w:val="21"/>
              </w:rPr>
              <w:t>原产地和制造商名称</w:t>
            </w:r>
          </w:p>
        </w:tc>
        <w:tc>
          <w:tcPr>
            <w:tcW w:w="1577" w:type="dxa"/>
            <w:noWrap w:val="0"/>
            <w:vAlign w:val="center"/>
          </w:tcPr>
          <w:p w14:paraId="7648FF14">
            <w:pPr>
              <w:spacing w:before="0" w:line="221" w:lineRule="auto"/>
              <w:ind w:firstLine="0" w:firstLineChars="0"/>
              <w:jc w:val="center"/>
              <w:rPr>
                <w:rFonts w:hint="eastAsia" w:ascii="宋体" w:hAnsi="宋体" w:eastAsia="宋体" w:cs="宋体"/>
                <w:spacing w:val="-1"/>
                <w:szCs w:val="21"/>
              </w:rPr>
            </w:pPr>
            <w:r>
              <w:rPr>
                <w:rFonts w:hint="eastAsia" w:ascii="宋体" w:hAnsi="宋体" w:eastAsia="宋体" w:cs="宋体"/>
                <w:spacing w:val="-1"/>
                <w:szCs w:val="21"/>
              </w:rPr>
              <w:t>备  注</w:t>
            </w:r>
          </w:p>
        </w:tc>
      </w:tr>
      <w:tr w14:paraId="6ABA66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782" w:type="dxa"/>
            <w:noWrap w:val="0"/>
            <w:vAlign w:val="center"/>
          </w:tcPr>
          <w:p w14:paraId="6183D881">
            <w:pPr>
              <w:keepNext w:val="0"/>
              <w:keepLines w:val="0"/>
              <w:suppressLineNumbers w:val="0"/>
              <w:spacing w:before="0" w:beforeLines="0" w:beforeAutospacing="0" w:after="0" w:afterAutospacing="0" w:line="360" w:lineRule="exact"/>
              <w:ind w:left="0" w:leftChars="0" w:right="0" w:rightChars="0"/>
              <w:jc w:val="center"/>
              <w:rPr>
                <w:rFonts w:ascii="宋体" w:hAnsi="宋体" w:eastAsia="宋体" w:cs="宋体"/>
                <w:szCs w:val="21"/>
              </w:rPr>
            </w:pPr>
          </w:p>
        </w:tc>
        <w:tc>
          <w:tcPr>
            <w:tcW w:w="2605" w:type="dxa"/>
            <w:noWrap w:val="0"/>
            <w:vAlign w:val="center"/>
          </w:tcPr>
          <w:p w14:paraId="0D1A9BCD">
            <w:pPr>
              <w:keepNext w:val="0"/>
              <w:keepLines w:val="0"/>
              <w:suppressLineNumbers w:val="0"/>
              <w:spacing w:before="0" w:beforeAutospacing="0" w:after="0" w:afterAutospacing="0" w:line="360" w:lineRule="exact"/>
              <w:ind w:left="0" w:leftChars="0" w:right="0" w:rightChars="0"/>
              <w:jc w:val="center"/>
              <w:rPr>
                <w:rFonts w:ascii="Arial"/>
              </w:rPr>
            </w:pPr>
          </w:p>
        </w:tc>
        <w:tc>
          <w:tcPr>
            <w:tcW w:w="2606" w:type="dxa"/>
            <w:noWrap w:val="0"/>
            <w:vAlign w:val="top"/>
          </w:tcPr>
          <w:p w14:paraId="32286EA2">
            <w:pPr>
              <w:rPr>
                <w:rFonts w:ascii="Arial"/>
              </w:rPr>
            </w:pPr>
          </w:p>
        </w:tc>
        <w:tc>
          <w:tcPr>
            <w:tcW w:w="1554" w:type="dxa"/>
            <w:noWrap w:val="0"/>
            <w:vAlign w:val="top"/>
          </w:tcPr>
          <w:p w14:paraId="5B15385E">
            <w:pPr>
              <w:rPr>
                <w:rFonts w:ascii="Arial"/>
              </w:rPr>
            </w:pPr>
          </w:p>
        </w:tc>
        <w:tc>
          <w:tcPr>
            <w:tcW w:w="2123" w:type="dxa"/>
            <w:noWrap w:val="0"/>
            <w:vAlign w:val="top"/>
          </w:tcPr>
          <w:p w14:paraId="2C9ED844">
            <w:pPr>
              <w:rPr>
                <w:rFonts w:ascii="Arial"/>
              </w:rPr>
            </w:pPr>
          </w:p>
        </w:tc>
        <w:tc>
          <w:tcPr>
            <w:tcW w:w="2749" w:type="dxa"/>
            <w:tcBorders>
              <w:left w:val="single" w:color="000000" w:sz="4" w:space="0"/>
            </w:tcBorders>
            <w:noWrap w:val="0"/>
            <w:vAlign w:val="top"/>
          </w:tcPr>
          <w:p w14:paraId="65CDE025">
            <w:pPr>
              <w:rPr>
                <w:rFonts w:ascii="Arial"/>
              </w:rPr>
            </w:pPr>
          </w:p>
        </w:tc>
        <w:tc>
          <w:tcPr>
            <w:tcW w:w="1577" w:type="dxa"/>
            <w:noWrap w:val="0"/>
            <w:vAlign w:val="top"/>
          </w:tcPr>
          <w:p w14:paraId="05E1A3B7">
            <w:pPr>
              <w:rPr>
                <w:rFonts w:ascii="Arial"/>
              </w:rPr>
            </w:pPr>
          </w:p>
        </w:tc>
      </w:tr>
      <w:tr w14:paraId="7217FF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782" w:type="dxa"/>
            <w:noWrap w:val="0"/>
            <w:vAlign w:val="center"/>
          </w:tcPr>
          <w:p w14:paraId="428E1E1F">
            <w:pPr>
              <w:keepNext w:val="0"/>
              <w:keepLines w:val="0"/>
              <w:suppressLineNumbers w:val="0"/>
              <w:spacing w:before="0" w:beforeAutospacing="0" w:after="0" w:afterAutospacing="0" w:line="360" w:lineRule="exact"/>
              <w:ind w:left="0" w:leftChars="0" w:right="0" w:rightChars="0"/>
              <w:jc w:val="center"/>
              <w:rPr>
                <w:rFonts w:ascii="宋体" w:hAnsi="宋体" w:eastAsia="宋体" w:cs="宋体"/>
                <w:szCs w:val="21"/>
              </w:rPr>
            </w:pPr>
          </w:p>
        </w:tc>
        <w:tc>
          <w:tcPr>
            <w:tcW w:w="2605" w:type="dxa"/>
            <w:noWrap w:val="0"/>
            <w:vAlign w:val="center"/>
          </w:tcPr>
          <w:p w14:paraId="63AC1993">
            <w:pPr>
              <w:keepNext w:val="0"/>
              <w:keepLines w:val="0"/>
              <w:widowControl/>
              <w:suppressLineNumbers w:val="0"/>
              <w:spacing w:before="0" w:beforeAutospacing="0" w:after="0" w:afterAutospacing="0" w:line="360" w:lineRule="exact"/>
              <w:ind w:left="0" w:leftChars="0" w:right="0" w:rightChars="0"/>
              <w:jc w:val="center"/>
              <w:textAlignment w:val="auto"/>
              <w:rPr>
                <w:rFonts w:ascii="Arial"/>
              </w:rPr>
            </w:pPr>
          </w:p>
        </w:tc>
        <w:tc>
          <w:tcPr>
            <w:tcW w:w="2606" w:type="dxa"/>
            <w:noWrap w:val="0"/>
            <w:vAlign w:val="top"/>
          </w:tcPr>
          <w:p w14:paraId="36B62B50">
            <w:pPr>
              <w:rPr>
                <w:rFonts w:ascii="Arial"/>
              </w:rPr>
            </w:pPr>
          </w:p>
        </w:tc>
        <w:tc>
          <w:tcPr>
            <w:tcW w:w="1554" w:type="dxa"/>
            <w:noWrap w:val="0"/>
            <w:vAlign w:val="top"/>
          </w:tcPr>
          <w:p w14:paraId="1714B11B">
            <w:pPr>
              <w:rPr>
                <w:rFonts w:ascii="Arial"/>
              </w:rPr>
            </w:pPr>
          </w:p>
        </w:tc>
        <w:tc>
          <w:tcPr>
            <w:tcW w:w="2123" w:type="dxa"/>
            <w:noWrap w:val="0"/>
            <w:vAlign w:val="top"/>
          </w:tcPr>
          <w:p w14:paraId="1FCA7CE7">
            <w:pPr>
              <w:rPr>
                <w:rFonts w:ascii="Arial"/>
              </w:rPr>
            </w:pPr>
          </w:p>
        </w:tc>
        <w:tc>
          <w:tcPr>
            <w:tcW w:w="2749" w:type="dxa"/>
            <w:tcBorders>
              <w:left w:val="single" w:color="000000" w:sz="4" w:space="0"/>
            </w:tcBorders>
            <w:noWrap w:val="0"/>
            <w:vAlign w:val="top"/>
          </w:tcPr>
          <w:p w14:paraId="229C2C0B">
            <w:pPr>
              <w:rPr>
                <w:rFonts w:ascii="Arial"/>
              </w:rPr>
            </w:pPr>
          </w:p>
        </w:tc>
        <w:tc>
          <w:tcPr>
            <w:tcW w:w="1577" w:type="dxa"/>
            <w:noWrap w:val="0"/>
            <w:vAlign w:val="top"/>
          </w:tcPr>
          <w:p w14:paraId="0B1FA2E8">
            <w:pPr>
              <w:rPr>
                <w:rFonts w:ascii="Arial"/>
              </w:rPr>
            </w:pPr>
          </w:p>
        </w:tc>
      </w:tr>
      <w:tr w14:paraId="07D244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782" w:type="dxa"/>
            <w:noWrap w:val="0"/>
            <w:vAlign w:val="center"/>
          </w:tcPr>
          <w:p w14:paraId="1B7FCB74">
            <w:pPr>
              <w:keepNext w:val="0"/>
              <w:keepLines w:val="0"/>
              <w:suppressLineNumbers w:val="0"/>
              <w:spacing w:before="0" w:beforeLines="0" w:beforeAutospacing="0" w:after="0" w:afterAutospacing="0" w:line="360" w:lineRule="exact"/>
              <w:ind w:left="0" w:leftChars="0" w:right="0" w:rightChars="0"/>
              <w:jc w:val="center"/>
              <w:rPr>
                <w:rFonts w:ascii="宋体" w:hAnsi="宋体" w:eastAsia="宋体" w:cs="宋体"/>
                <w:szCs w:val="21"/>
              </w:rPr>
            </w:pPr>
          </w:p>
        </w:tc>
        <w:tc>
          <w:tcPr>
            <w:tcW w:w="2605" w:type="dxa"/>
            <w:noWrap w:val="0"/>
            <w:vAlign w:val="center"/>
          </w:tcPr>
          <w:p w14:paraId="49E324E1">
            <w:pPr>
              <w:keepNext w:val="0"/>
              <w:keepLines w:val="0"/>
              <w:widowControl/>
              <w:suppressLineNumbers w:val="0"/>
              <w:spacing w:before="0" w:beforeAutospacing="0" w:after="0" w:afterAutospacing="0" w:line="360" w:lineRule="exact"/>
              <w:ind w:left="0" w:leftChars="0" w:right="0" w:rightChars="0"/>
              <w:jc w:val="center"/>
              <w:textAlignment w:val="auto"/>
              <w:rPr>
                <w:rFonts w:ascii="Arial"/>
              </w:rPr>
            </w:pPr>
          </w:p>
        </w:tc>
        <w:tc>
          <w:tcPr>
            <w:tcW w:w="2606" w:type="dxa"/>
            <w:noWrap w:val="0"/>
            <w:vAlign w:val="top"/>
          </w:tcPr>
          <w:p w14:paraId="2D196586">
            <w:pPr>
              <w:rPr>
                <w:rFonts w:ascii="Arial"/>
              </w:rPr>
            </w:pPr>
          </w:p>
        </w:tc>
        <w:tc>
          <w:tcPr>
            <w:tcW w:w="1554" w:type="dxa"/>
            <w:noWrap w:val="0"/>
            <w:vAlign w:val="top"/>
          </w:tcPr>
          <w:p w14:paraId="62821507">
            <w:pPr>
              <w:rPr>
                <w:rFonts w:ascii="Arial"/>
              </w:rPr>
            </w:pPr>
          </w:p>
        </w:tc>
        <w:tc>
          <w:tcPr>
            <w:tcW w:w="2123" w:type="dxa"/>
            <w:noWrap w:val="0"/>
            <w:vAlign w:val="top"/>
          </w:tcPr>
          <w:p w14:paraId="7612947E">
            <w:pPr>
              <w:rPr>
                <w:rFonts w:ascii="Arial"/>
              </w:rPr>
            </w:pPr>
          </w:p>
        </w:tc>
        <w:tc>
          <w:tcPr>
            <w:tcW w:w="2749" w:type="dxa"/>
            <w:tcBorders>
              <w:left w:val="single" w:color="000000" w:sz="4" w:space="0"/>
            </w:tcBorders>
            <w:noWrap w:val="0"/>
            <w:vAlign w:val="top"/>
          </w:tcPr>
          <w:p w14:paraId="6EDE65A1">
            <w:pPr>
              <w:rPr>
                <w:rFonts w:ascii="Arial"/>
              </w:rPr>
            </w:pPr>
          </w:p>
        </w:tc>
        <w:tc>
          <w:tcPr>
            <w:tcW w:w="1577" w:type="dxa"/>
            <w:noWrap w:val="0"/>
            <w:vAlign w:val="top"/>
          </w:tcPr>
          <w:p w14:paraId="1461C004">
            <w:pPr>
              <w:rPr>
                <w:rFonts w:ascii="Arial"/>
              </w:rPr>
            </w:pPr>
          </w:p>
        </w:tc>
      </w:tr>
      <w:tr w14:paraId="2374D2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2" w:hRule="atLeast"/>
        </w:trPr>
        <w:tc>
          <w:tcPr>
            <w:tcW w:w="782" w:type="dxa"/>
            <w:noWrap w:val="0"/>
            <w:vAlign w:val="center"/>
          </w:tcPr>
          <w:p w14:paraId="128681B7">
            <w:pPr>
              <w:keepNext w:val="0"/>
              <w:keepLines w:val="0"/>
              <w:suppressLineNumbers w:val="0"/>
              <w:spacing w:before="0" w:beforeLines="0" w:beforeAutospacing="0" w:after="0" w:afterAutospacing="0" w:line="360" w:lineRule="exact"/>
              <w:ind w:left="0" w:leftChars="0" w:right="0" w:rightChars="0"/>
              <w:jc w:val="center"/>
              <w:rPr>
                <w:rFonts w:ascii="宋体" w:hAnsi="宋体" w:eastAsia="宋体" w:cs="宋体"/>
                <w:szCs w:val="21"/>
              </w:rPr>
            </w:pPr>
          </w:p>
        </w:tc>
        <w:tc>
          <w:tcPr>
            <w:tcW w:w="2605" w:type="dxa"/>
            <w:noWrap w:val="0"/>
            <w:vAlign w:val="center"/>
          </w:tcPr>
          <w:p w14:paraId="3A1346FB">
            <w:pPr>
              <w:keepNext w:val="0"/>
              <w:keepLines w:val="0"/>
              <w:widowControl/>
              <w:suppressLineNumbers w:val="0"/>
              <w:spacing w:before="0" w:beforeAutospacing="0" w:after="0" w:afterAutospacing="0" w:line="360" w:lineRule="exact"/>
              <w:ind w:left="0" w:leftChars="0" w:right="0" w:rightChars="0"/>
              <w:jc w:val="center"/>
              <w:textAlignment w:val="auto"/>
              <w:rPr>
                <w:rFonts w:ascii="Arial"/>
              </w:rPr>
            </w:pPr>
          </w:p>
        </w:tc>
        <w:tc>
          <w:tcPr>
            <w:tcW w:w="2606" w:type="dxa"/>
            <w:noWrap w:val="0"/>
            <w:vAlign w:val="top"/>
          </w:tcPr>
          <w:p w14:paraId="637F59CF">
            <w:pPr>
              <w:rPr>
                <w:rFonts w:ascii="Arial"/>
              </w:rPr>
            </w:pPr>
          </w:p>
        </w:tc>
        <w:tc>
          <w:tcPr>
            <w:tcW w:w="1554" w:type="dxa"/>
            <w:noWrap w:val="0"/>
            <w:vAlign w:val="top"/>
          </w:tcPr>
          <w:p w14:paraId="74431D58">
            <w:pPr>
              <w:rPr>
                <w:rFonts w:ascii="Arial"/>
              </w:rPr>
            </w:pPr>
          </w:p>
        </w:tc>
        <w:tc>
          <w:tcPr>
            <w:tcW w:w="2123" w:type="dxa"/>
            <w:noWrap w:val="0"/>
            <w:vAlign w:val="top"/>
          </w:tcPr>
          <w:p w14:paraId="62B2AB1F">
            <w:pPr>
              <w:rPr>
                <w:rFonts w:ascii="Arial"/>
              </w:rPr>
            </w:pPr>
          </w:p>
        </w:tc>
        <w:tc>
          <w:tcPr>
            <w:tcW w:w="2749" w:type="dxa"/>
            <w:tcBorders>
              <w:left w:val="single" w:color="000000" w:sz="4" w:space="0"/>
            </w:tcBorders>
            <w:noWrap w:val="0"/>
            <w:vAlign w:val="top"/>
          </w:tcPr>
          <w:p w14:paraId="3D55F6A5">
            <w:pPr>
              <w:rPr>
                <w:rFonts w:ascii="Arial"/>
              </w:rPr>
            </w:pPr>
          </w:p>
        </w:tc>
        <w:tc>
          <w:tcPr>
            <w:tcW w:w="1577" w:type="dxa"/>
            <w:noWrap w:val="0"/>
            <w:vAlign w:val="top"/>
          </w:tcPr>
          <w:p w14:paraId="68D4D76D">
            <w:pPr>
              <w:rPr>
                <w:rFonts w:ascii="Arial"/>
              </w:rPr>
            </w:pPr>
          </w:p>
        </w:tc>
      </w:tr>
      <w:tr w14:paraId="3FBE57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782" w:type="dxa"/>
            <w:noWrap w:val="0"/>
            <w:vAlign w:val="center"/>
          </w:tcPr>
          <w:p w14:paraId="221CDE66">
            <w:pPr>
              <w:keepNext w:val="0"/>
              <w:keepLines w:val="0"/>
              <w:suppressLineNumbers w:val="0"/>
              <w:spacing w:before="0" w:beforeLines="0" w:beforeAutospacing="0" w:after="0" w:afterAutospacing="0" w:line="360" w:lineRule="exact"/>
              <w:ind w:left="0" w:leftChars="0" w:right="0" w:rightChars="0"/>
              <w:jc w:val="center"/>
              <w:rPr>
                <w:rFonts w:ascii="宋体" w:hAnsi="宋体" w:eastAsia="宋体" w:cs="宋体"/>
                <w:szCs w:val="21"/>
              </w:rPr>
            </w:pPr>
          </w:p>
        </w:tc>
        <w:tc>
          <w:tcPr>
            <w:tcW w:w="2605" w:type="dxa"/>
            <w:noWrap w:val="0"/>
            <w:vAlign w:val="center"/>
          </w:tcPr>
          <w:p w14:paraId="6CFD3CC8">
            <w:pPr>
              <w:keepNext w:val="0"/>
              <w:keepLines w:val="0"/>
              <w:widowControl/>
              <w:suppressLineNumbers w:val="0"/>
              <w:spacing w:before="0" w:beforeAutospacing="0" w:after="0" w:afterAutospacing="0" w:line="360" w:lineRule="exact"/>
              <w:ind w:left="0" w:leftChars="0" w:right="0" w:rightChars="0"/>
              <w:jc w:val="center"/>
              <w:textAlignment w:val="auto"/>
              <w:rPr>
                <w:rFonts w:ascii="Arial"/>
              </w:rPr>
            </w:pPr>
          </w:p>
        </w:tc>
        <w:tc>
          <w:tcPr>
            <w:tcW w:w="2606" w:type="dxa"/>
            <w:noWrap w:val="0"/>
            <w:vAlign w:val="top"/>
          </w:tcPr>
          <w:p w14:paraId="2844A496">
            <w:pPr>
              <w:rPr>
                <w:rFonts w:ascii="Arial"/>
              </w:rPr>
            </w:pPr>
          </w:p>
        </w:tc>
        <w:tc>
          <w:tcPr>
            <w:tcW w:w="1554" w:type="dxa"/>
            <w:noWrap w:val="0"/>
            <w:vAlign w:val="top"/>
          </w:tcPr>
          <w:p w14:paraId="07946F04">
            <w:pPr>
              <w:rPr>
                <w:rFonts w:ascii="Arial"/>
              </w:rPr>
            </w:pPr>
          </w:p>
        </w:tc>
        <w:tc>
          <w:tcPr>
            <w:tcW w:w="2123" w:type="dxa"/>
            <w:noWrap w:val="0"/>
            <w:vAlign w:val="top"/>
          </w:tcPr>
          <w:p w14:paraId="5C894622">
            <w:pPr>
              <w:rPr>
                <w:rFonts w:ascii="Arial"/>
              </w:rPr>
            </w:pPr>
          </w:p>
        </w:tc>
        <w:tc>
          <w:tcPr>
            <w:tcW w:w="2749" w:type="dxa"/>
            <w:tcBorders>
              <w:left w:val="single" w:color="000000" w:sz="4" w:space="0"/>
            </w:tcBorders>
            <w:noWrap w:val="0"/>
            <w:vAlign w:val="top"/>
          </w:tcPr>
          <w:p w14:paraId="5029EEDE">
            <w:pPr>
              <w:rPr>
                <w:rFonts w:ascii="Arial"/>
              </w:rPr>
            </w:pPr>
          </w:p>
        </w:tc>
        <w:tc>
          <w:tcPr>
            <w:tcW w:w="1577" w:type="dxa"/>
            <w:noWrap w:val="0"/>
            <w:vAlign w:val="top"/>
          </w:tcPr>
          <w:p w14:paraId="4FD89C74">
            <w:pPr>
              <w:rPr>
                <w:rFonts w:ascii="Arial"/>
              </w:rPr>
            </w:pPr>
          </w:p>
        </w:tc>
      </w:tr>
      <w:tr w14:paraId="3AAF53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782" w:type="dxa"/>
            <w:noWrap w:val="0"/>
            <w:vAlign w:val="center"/>
          </w:tcPr>
          <w:p w14:paraId="52F78FC6">
            <w:pPr>
              <w:keepNext w:val="0"/>
              <w:keepLines w:val="0"/>
              <w:suppressLineNumbers w:val="0"/>
              <w:spacing w:before="0" w:beforeLines="0" w:beforeAutospacing="0" w:after="0" w:afterAutospacing="0" w:line="360" w:lineRule="exact"/>
              <w:ind w:left="0" w:leftChars="0" w:right="0" w:rightChars="0"/>
              <w:jc w:val="center"/>
              <w:rPr>
                <w:rFonts w:ascii="宋体" w:hAnsi="宋体" w:eastAsia="宋体" w:cs="宋体"/>
                <w:szCs w:val="21"/>
              </w:rPr>
            </w:pPr>
          </w:p>
        </w:tc>
        <w:tc>
          <w:tcPr>
            <w:tcW w:w="2605" w:type="dxa"/>
            <w:noWrap w:val="0"/>
            <w:vAlign w:val="center"/>
          </w:tcPr>
          <w:p w14:paraId="48DB3961">
            <w:pPr>
              <w:keepNext w:val="0"/>
              <w:keepLines w:val="0"/>
              <w:widowControl/>
              <w:suppressLineNumbers w:val="0"/>
              <w:spacing w:before="0" w:beforeAutospacing="0" w:after="0" w:afterAutospacing="0" w:line="360" w:lineRule="exact"/>
              <w:ind w:left="0" w:leftChars="0" w:right="0" w:rightChars="0"/>
              <w:jc w:val="center"/>
              <w:textAlignment w:val="auto"/>
              <w:rPr>
                <w:rFonts w:ascii="Arial"/>
              </w:rPr>
            </w:pPr>
          </w:p>
        </w:tc>
        <w:tc>
          <w:tcPr>
            <w:tcW w:w="2606" w:type="dxa"/>
            <w:noWrap w:val="0"/>
            <w:vAlign w:val="top"/>
          </w:tcPr>
          <w:p w14:paraId="418FC555">
            <w:pPr>
              <w:rPr>
                <w:rFonts w:ascii="Arial"/>
              </w:rPr>
            </w:pPr>
          </w:p>
        </w:tc>
        <w:tc>
          <w:tcPr>
            <w:tcW w:w="1554" w:type="dxa"/>
            <w:noWrap w:val="0"/>
            <w:vAlign w:val="top"/>
          </w:tcPr>
          <w:p w14:paraId="35042397">
            <w:pPr>
              <w:rPr>
                <w:rFonts w:ascii="Arial"/>
              </w:rPr>
            </w:pPr>
          </w:p>
        </w:tc>
        <w:tc>
          <w:tcPr>
            <w:tcW w:w="2123" w:type="dxa"/>
            <w:noWrap w:val="0"/>
            <w:vAlign w:val="top"/>
          </w:tcPr>
          <w:p w14:paraId="05DE0AEC">
            <w:pPr>
              <w:rPr>
                <w:rFonts w:ascii="Arial"/>
              </w:rPr>
            </w:pPr>
          </w:p>
        </w:tc>
        <w:tc>
          <w:tcPr>
            <w:tcW w:w="2749" w:type="dxa"/>
            <w:tcBorders>
              <w:left w:val="single" w:color="000000" w:sz="4" w:space="0"/>
            </w:tcBorders>
            <w:noWrap w:val="0"/>
            <w:vAlign w:val="top"/>
          </w:tcPr>
          <w:p w14:paraId="19EE70AE">
            <w:pPr>
              <w:rPr>
                <w:rFonts w:ascii="Arial"/>
              </w:rPr>
            </w:pPr>
          </w:p>
        </w:tc>
        <w:tc>
          <w:tcPr>
            <w:tcW w:w="1577" w:type="dxa"/>
            <w:noWrap w:val="0"/>
            <w:vAlign w:val="top"/>
          </w:tcPr>
          <w:p w14:paraId="27A87424">
            <w:pPr>
              <w:rPr>
                <w:rFonts w:ascii="Arial"/>
              </w:rPr>
            </w:pPr>
          </w:p>
        </w:tc>
      </w:tr>
      <w:tr w14:paraId="24CD84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5" w:hRule="atLeast"/>
        </w:trPr>
        <w:tc>
          <w:tcPr>
            <w:tcW w:w="782" w:type="dxa"/>
            <w:noWrap w:val="0"/>
            <w:vAlign w:val="center"/>
          </w:tcPr>
          <w:p w14:paraId="6091D2B0">
            <w:pPr>
              <w:keepNext w:val="0"/>
              <w:keepLines w:val="0"/>
              <w:suppressLineNumbers w:val="0"/>
              <w:spacing w:before="0" w:beforeLines="0" w:beforeAutospacing="0" w:after="0" w:afterAutospacing="0" w:line="360" w:lineRule="exact"/>
              <w:ind w:left="0" w:leftChars="0" w:right="0" w:rightChars="0"/>
              <w:jc w:val="center"/>
              <w:rPr>
                <w:rFonts w:ascii="宋体" w:hAnsi="宋体" w:eastAsia="宋体" w:cs="宋体"/>
                <w:szCs w:val="21"/>
              </w:rPr>
            </w:pPr>
          </w:p>
        </w:tc>
        <w:tc>
          <w:tcPr>
            <w:tcW w:w="2605" w:type="dxa"/>
            <w:noWrap w:val="0"/>
            <w:vAlign w:val="center"/>
          </w:tcPr>
          <w:p w14:paraId="59EBD4DA">
            <w:pPr>
              <w:keepNext w:val="0"/>
              <w:keepLines w:val="0"/>
              <w:widowControl/>
              <w:suppressLineNumbers w:val="0"/>
              <w:spacing w:before="0" w:beforeAutospacing="0" w:after="0" w:afterAutospacing="0" w:line="360" w:lineRule="exact"/>
              <w:ind w:left="0" w:leftChars="0" w:right="0" w:rightChars="0"/>
              <w:jc w:val="center"/>
              <w:textAlignment w:val="auto"/>
              <w:rPr>
                <w:rFonts w:ascii="Arial"/>
              </w:rPr>
            </w:pPr>
          </w:p>
        </w:tc>
        <w:tc>
          <w:tcPr>
            <w:tcW w:w="2606" w:type="dxa"/>
            <w:noWrap w:val="0"/>
            <w:vAlign w:val="top"/>
          </w:tcPr>
          <w:p w14:paraId="42E207EE">
            <w:pPr>
              <w:rPr>
                <w:rFonts w:ascii="Arial"/>
              </w:rPr>
            </w:pPr>
          </w:p>
        </w:tc>
        <w:tc>
          <w:tcPr>
            <w:tcW w:w="1554" w:type="dxa"/>
            <w:noWrap w:val="0"/>
            <w:vAlign w:val="top"/>
          </w:tcPr>
          <w:p w14:paraId="67426FB8">
            <w:pPr>
              <w:rPr>
                <w:rFonts w:ascii="Arial"/>
              </w:rPr>
            </w:pPr>
          </w:p>
        </w:tc>
        <w:tc>
          <w:tcPr>
            <w:tcW w:w="2123" w:type="dxa"/>
            <w:noWrap w:val="0"/>
            <w:vAlign w:val="top"/>
          </w:tcPr>
          <w:p w14:paraId="7ACAD9F2">
            <w:pPr>
              <w:rPr>
                <w:rFonts w:ascii="Arial"/>
              </w:rPr>
            </w:pPr>
          </w:p>
        </w:tc>
        <w:tc>
          <w:tcPr>
            <w:tcW w:w="2749" w:type="dxa"/>
            <w:tcBorders>
              <w:left w:val="single" w:color="000000" w:sz="4" w:space="0"/>
            </w:tcBorders>
            <w:noWrap w:val="0"/>
            <w:vAlign w:val="top"/>
          </w:tcPr>
          <w:p w14:paraId="65503C2E">
            <w:pPr>
              <w:rPr>
                <w:rFonts w:ascii="Arial"/>
              </w:rPr>
            </w:pPr>
          </w:p>
        </w:tc>
        <w:tc>
          <w:tcPr>
            <w:tcW w:w="1577" w:type="dxa"/>
            <w:noWrap w:val="0"/>
            <w:vAlign w:val="top"/>
          </w:tcPr>
          <w:p w14:paraId="1F2CDE62">
            <w:pPr>
              <w:rPr>
                <w:rFonts w:ascii="Arial"/>
              </w:rPr>
            </w:pPr>
          </w:p>
        </w:tc>
      </w:tr>
      <w:tr w14:paraId="3BA5C8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2" w:hRule="atLeast"/>
        </w:trPr>
        <w:tc>
          <w:tcPr>
            <w:tcW w:w="782" w:type="dxa"/>
            <w:noWrap w:val="0"/>
            <w:vAlign w:val="center"/>
          </w:tcPr>
          <w:p w14:paraId="3C90C837">
            <w:pPr>
              <w:keepNext w:val="0"/>
              <w:keepLines w:val="0"/>
              <w:suppressLineNumbers w:val="0"/>
              <w:spacing w:before="0" w:beforeLines="0" w:beforeAutospacing="0" w:after="0" w:afterAutospacing="0" w:line="360" w:lineRule="exact"/>
              <w:ind w:left="0" w:leftChars="0" w:right="0" w:rightChars="0"/>
              <w:jc w:val="center"/>
              <w:rPr>
                <w:rFonts w:ascii="宋体" w:hAnsi="宋体" w:eastAsia="宋体" w:cs="宋体"/>
                <w:szCs w:val="21"/>
              </w:rPr>
            </w:pPr>
          </w:p>
        </w:tc>
        <w:tc>
          <w:tcPr>
            <w:tcW w:w="2605" w:type="dxa"/>
            <w:noWrap w:val="0"/>
            <w:vAlign w:val="center"/>
          </w:tcPr>
          <w:p w14:paraId="0714B4FD">
            <w:pPr>
              <w:keepNext w:val="0"/>
              <w:keepLines w:val="0"/>
              <w:widowControl/>
              <w:suppressLineNumbers w:val="0"/>
              <w:spacing w:before="0" w:beforeAutospacing="0" w:after="0" w:afterAutospacing="0" w:line="360" w:lineRule="exact"/>
              <w:ind w:left="0" w:leftChars="0" w:right="0" w:rightChars="0"/>
              <w:jc w:val="center"/>
              <w:textAlignment w:val="auto"/>
              <w:rPr>
                <w:rFonts w:ascii="Arial"/>
              </w:rPr>
            </w:pPr>
          </w:p>
        </w:tc>
        <w:tc>
          <w:tcPr>
            <w:tcW w:w="2606" w:type="dxa"/>
            <w:noWrap w:val="0"/>
            <w:vAlign w:val="top"/>
          </w:tcPr>
          <w:p w14:paraId="2EDE94F0">
            <w:pPr>
              <w:rPr>
                <w:rFonts w:ascii="Arial"/>
              </w:rPr>
            </w:pPr>
          </w:p>
        </w:tc>
        <w:tc>
          <w:tcPr>
            <w:tcW w:w="1554" w:type="dxa"/>
            <w:noWrap w:val="0"/>
            <w:vAlign w:val="top"/>
          </w:tcPr>
          <w:p w14:paraId="1F9A50B5">
            <w:pPr>
              <w:rPr>
                <w:rFonts w:ascii="Arial"/>
              </w:rPr>
            </w:pPr>
          </w:p>
        </w:tc>
        <w:tc>
          <w:tcPr>
            <w:tcW w:w="2123" w:type="dxa"/>
            <w:noWrap w:val="0"/>
            <w:vAlign w:val="top"/>
          </w:tcPr>
          <w:p w14:paraId="6744A20C">
            <w:pPr>
              <w:rPr>
                <w:rFonts w:ascii="Arial"/>
              </w:rPr>
            </w:pPr>
          </w:p>
        </w:tc>
        <w:tc>
          <w:tcPr>
            <w:tcW w:w="2749" w:type="dxa"/>
            <w:tcBorders>
              <w:left w:val="single" w:color="000000" w:sz="4" w:space="0"/>
            </w:tcBorders>
            <w:noWrap w:val="0"/>
            <w:vAlign w:val="top"/>
          </w:tcPr>
          <w:p w14:paraId="24964C92">
            <w:pPr>
              <w:rPr>
                <w:rFonts w:ascii="Arial"/>
              </w:rPr>
            </w:pPr>
          </w:p>
        </w:tc>
        <w:tc>
          <w:tcPr>
            <w:tcW w:w="1577" w:type="dxa"/>
            <w:noWrap w:val="0"/>
            <w:vAlign w:val="top"/>
          </w:tcPr>
          <w:p w14:paraId="562B1867">
            <w:pPr>
              <w:rPr>
                <w:rFonts w:ascii="Arial"/>
              </w:rPr>
            </w:pPr>
          </w:p>
        </w:tc>
      </w:tr>
      <w:tr w14:paraId="512FD9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782" w:type="dxa"/>
            <w:noWrap w:val="0"/>
            <w:vAlign w:val="center"/>
          </w:tcPr>
          <w:p w14:paraId="76543C2C">
            <w:pPr>
              <w:keepNext w:val="0"/>
              <w:keepLines w:val="0"/>
              <w:suppressLineNumbers w:val="0"/>
              <w:spacing w:before="0" w:beforeLines="0" w:beforeAutospacing="0" w:after="0" w:afterAutospacing="0" w:line="360" w:lineRule="exact"/>
              <w:ind w:left="0" w:leftChars="0" w:right="0" w:rightChars="0"/>
              <w:jc w:val="center"/>
              <w:rPr>
                <w:rFonts w:ascii="宋体" w:hAnsi="宋体" w:eastAsia="宋体" w:cs="宋体"/>
                <w:szCs w:val="21"/>
              </w:rPr>
            </w:pPr>
          </w:p>
        </w:tc>
        <w:tc>
          <w:tcPr>
            <w:tcW w:w="2605" w:type="dxa"/>
            <w:noWrap w:val="0"/>
            <w:vAlign w:val="center"/>
          </w:tcPr>
          <w:p w14:paraId="4D51997E">
            <w:pPr>
              <w:keepNext w:val="0"/>
              <w:keepLines w:val="0"/>
              <w:widowControl/>
              <w:suppressLineNumbers w:val="0"/>
              <w:spacing w:before="0" w:beforeAutospacing="0" w:after="0" w:afterAutospacing="0" w:line="360" w:lineRule="exact"/>
              <w:ind w:left="0" w:leftChars="0" w:right="0" w:rightChars="0"/>
              <w:jc w:val="center"/>
              <w:textAlignment w:val="auto"/>
              <w:rPr>
                <w:rFonts w:ascii="Arial"/>
              </w:rPr>
            </w:pPr>
          </w:p>
        </w:tc>
        <w:tc>
          <w:tcPr>
            <w:tcW w:w="2606" w:type="dxa"/>
            <w:noWrap w:val="0"/>
            <w:vAlign w:val="top"/>
          </w:tcPr>
          <w:p w14:paraId="4F3D990F">
            <w:pPr>
              <w:rPr>
                <w:rFonts w:ascii="Arial"/>
              </w:rPr>
            </w:pPr>
          </w:p>
        </w:tc>
        <w:tc>
          <w:tcPr>
            <w:tcW w:w="1554" w:type="dxa"/>
            <w:noWrap w:val="0"/>
            <w:vAlign w:val="top"/>
          </w:tcPr>
          <w:p w14:paraId="1718249A">
            <w:pPr>
              <w:rPr>
                <w:rFonts w:ascii="Arial"/>
              </w:rPr>
            </w:pPr>
          </w:p>
        </w:tc>
        <w:tc>
          <w:tcPr>
            <w:tcW w:w="2123" w:type="dxa"/>
            <w:noWrap w:val="0"/>
            <w:vAlign w:val="top"/>
          </w:tcPr>
          <w:p w14:paraId="08EE3E50">
            <w:pPr>
              <w:rPr>
                <w:rFonts w:ascii="Arial"/>
              </w:rPr>
            </w:pPr>
          </w:p>
        </w:tc>
        <w:tc>
          <w:tcPr>
            <w:tcW w:w="2749" w:type="dxa"/>
            <w:tcBorders>
              <w:left w:val="single" w:color="000000" w:sz="4" w:space="0"/>
            </w:tcBorders>
            <w:noWrap w:val="0"/>
            <w:vAlign w:val="top"/>
          </w:tcPr>
          <w:p w14:paraId="4ED83D2F">
            <w:pPr>
              <w:rPr>
                <w:rFonts w:ascii="Arial"/>
              </w:rPr>
            </w:pPr>
          </w:p>
        </w:tc>
        <w:tc>
          <w:tcPr>
            <w:tcW w:w="1577" w:type="dxa"/>
            <w:noWrap w:val="0"/>
            <w:vAlign w:val="top"/>
          </w:tcPr>
          <w:p w14:paraId="4CB400D1">
            <w:pPr>
              <w:rPr>
                <w:rFonts w:ascii="Arial"/>
              </w:rPr>
            </w:pPr>
          </w:p>
        </w:tc>
      </w:tr>
      <w:tr w14:paraId="2249A6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782" w:type="dxa"/>
            <w:noWrap w:val="0"/>
            <w:vAlign w:val="center"/>
          </w:tcPr>
          <w:p w14:paraId="55F1A5B5">
            <w:pPr>
              <w:keepNext w:val="0"/>
              <w:keepLines w:val="0"/>
              <w:suppressLineNumbers w:val="0"/>
              <w:spacing w:before="0" w:beforeLines="0" w:beforeAutospacing="0" w:after="0" w:afterAutospacing="0" w:line="360" w:lineRule="exact"/>
              <w:ind w:left="0" w:leftChars="0" w:right="0" w:rightChars="0"/>
              <w:jc w:val="center"/>
              <w:rPr>
                <w:rFonts w:ascii="宋体" w:hAnsi="宋体" w:eastAsia="宋体" w:cs="宋体"/>
                <w:szCs w:val="21"/>
              </w:rPr>
            </w:pPr>
          </w:p>
        </w:tc>
        <w:tc>
          <w:tcPr>
            <w:tcW w:w="2605" w:type="dxa"/>
            <w:noWrap w:val="0"/>
            <w:vAlign w:val="center"/>
          </w:tcPr>
          <w:p w14:paraId="482AF9A2">
            <w:pPr>
              <w:keepNext w:val="0"/>
              <w:keepLines w:val="0"/>
              <w:widowControl/>
              <w:suppressLineNumbers w:val="0"/>
              <w:spacing w:before="0" w:beforeAutospacing="0" w:after="0" w:afterAutospacing="0" w:line="360" w:lineRule="exact"/>
              <w:ind w:left="0" w:leftChars="0" w:right="0" w:rightChars="0"/>
              <w:jc w:val="center"/>
              <w:textAlignment w:val="auto"/>
              <w:rPr>
                <w:rFonts w:ascii="Arial"/>
              </w:rPr>
            </w:pPr>
          </w:p>
        </w:tc>
        <w:tc>
          <w:tcPr>
            <w:tcW w:w="2606" w:type="dxa"/>
            <w:noWrap w:val="0"/>
            <w:vAlign w:val="top"/>
          </w:tcPr>
          <w:p w14:paraId="4235F137">
            <w:pPr>
              <w:rPr>
                <w:rFonts w:ascii="Arial"/>
              </w:rPr>
            </w:pPr>
          </w:p>
        </w:tc>
        <w:tc>
          <w:tcPr>
            <w:tcW w:w="1554" w:type="dxa"/>
            <w:noWrap w:val="0"/>
            <w:vAlign w:val="top"/>
          </w:tcPr>
          <w:p w14:paraId="2A8CAC0F">
            <w:pPr>
              <w:rPr>
                <w:rFonts w:ascii="Arial"/>
              </w:rPr>
            </w:pPr>
          </w:p>
        </w:tc>
        <w:tc>
          <w:tcPr>
            <w:tcW w:w="2123" w:type="dxa"/>
            <w:noWrap w:val="0"/>
            <w:vAlign w:val="top"/>
          </w:tcPr>
          <w:p w14:paraId="5CB721E2">
            <w:pPr>
              <w:rPr>
                <w:rFonts w:ascii="Arial"/>
              </w:rPr>
            </w:pPr>
          </w:p>
        </w:tc>
        <w:tc>
          <w:tcPr>
            <w:tcW w:w="2749" w:type="dxa"/>
            <w:tcBorders>
              <w:left w:val="single" w:color="000000" w:sz="4" w:space="0"/>
            </w:tcBorders>
            <w:noWrap w:val="0"/>
            <w:vAlign w:val="top"/>
          </w:tcPr>
          <w:p w14:paraId="0DED944D">
            <w:pPr>
              <w:rPr>
                <w:rFonts w:ascii="Arial"/>
              </w:rPr>
            </w:pPr>
          </w:p>
        </w:tc>
        <w:tc>
          <w:tcPr>
            <w:tcW w:w="1577" w:type="dxa"/>
            <w:noWrap w:val="0"/>
            <w:vAlign w:val="top"/>
          </w:tcPr>
          <w:p w14:paraId="04F52854">
            <w:pPr>
              <w:rPr>
                <w:rFonts w:ascii="Arial"/>
              </w:rPr>
            </w:pPr>
          </w:p>
        </w:tc>
      </w:tr>
      <w:tr w14:paraId="003709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9" w:hRule="atLeast"/>
        </w:trPr>
        <w:tc>
          <w:tcPr>
            <w:tcW w:w="782" w:type="dxa"/>
            <w:noWrap w:val="0"/>
            <w:vAlign w:val="top"/>
          </w:tcPr>
          <w:p w14:paraId="73E0B619">
            <w:pPr>
              <w:spacing w:before="79" w:line="284" w:lineRule="exact"/>
              <w:ind w:left="249"/>
              <w:rPr>
                <w:rFonts w:ascii="宋体" w:hAnsi="宋体" w:eastAsia="宋体" w:cs="宋体"/>
                <w:szCs w:val="21"/>
              </w:rPr>
            </w:pPr>
            <w:r>
              <w:rPr>
                <w:rFonts w:ascii="宋体" w:hAnsi="宋体" w:eastAsia="宋体" w:cs="宋体"/>
                <w:position w:val="1"/>
                <w:szCs w:val="21"/>
              </w:rPr>
              <w:t>…</w:t>
            </w:r>
          </w:p>
        </w:tc>
        <w:tc>
          <w:tcPr>
            <w:tcW w:w="2605" w:type="dxa"/>
            <w:noWrap w:val="0"/>
            <w:vAlign w:val="top"/>
          </w:tcPr>
          <w:p w14:paraId="6087C971">
            <w:pPr>
              <w:rPr>
                <w:rFonts w:ascii="Arial"/>
              </w:rPr>
            </w:pPr>
            <w:r>
              <w:rPr>
                <w:rFonts w:hint="eastAsia" w:ascii="宋体" w:hAnsi="宋体" w:eastAsia="宋体" w:cs="宋体"/>
              </w:rPr>
              <w:t>以上投标设备不足之处请往下添加序号自行补充</w:t>
            </w:r>
          </w:p>
        </w:tc>
        <w:tc>
          <w:tcPr>
            <w:tcW w:w="2606" w:type="dxa"/>
            <w:noWrap w:val="0"/>
            <w:vAlign w:val="top"/>
          </w:tcPr>
          <w:p w14:paraId="75A9AC7D">
            <w:pPr>
              <w:rPr>
                <w:rFonts w:ascii="Arial"/>
              </w:rPr>
            </w:pPr>
          </w:p>
        </w:tc>
        <w:tc>
          <w:tcPr>
            <w:tcW w:w="1554" w:type="dxa"/>
            <w:noWrap w:val="0"/>
            <w:vAlign w:val="top"/>
          </w:tcPr>
          <w:p w14:paraId="07127A8E">
            <w:pPr>
              <w:rPr>
                <w:rFonts w:ascii="Arial"/>
              </w:rPr>
            </w:pPr>
          </w:p>
        </w:tc>
        <w:tc>
          <w:tcPr>
            <w:tcW w:w="2123" w:type="dxa"/>
            <w:noWrap w:val="0"/>
            <w:vAlign w:val="top"/>
          </w:tcPr>
          <w:p w14:paraId="5C5D7C2D">
            <w:pPr>
              <w:rPr>
                <w:rFonts w:ascii="Arial"/>
              </w:rPr>
            </w:pPr>
          </w:p>
        </w:tc>
        <w:tc>
          <w:tcPr>
            <w:tcW w:w="2749" w:type="dxa"/>
            <w:tcBorders>
              <w:left w:val="single" w:color="000000" w:sz="4" w:space="0"/>
            </w:tcBorders>
            <w:noWrap w:val="0"/>
            <w:vAlign w:val="top"/>
          </w:tcPr>
          <w:p w14:paraId="09425518">
            <w:pPr>
              <w:rPr>
                <w:rFonts w:ascii="Arial"/>
              </w:rPr>
            </w:pPr>
          </w:p>
        </w:tc>
        <w:tc>
          <w:tcPr>
            <w:tcW w:w="1577" w:type="dxa"/>
            <w:noWrap w:val="0"/>
            <w:vAlign w:val="top"/>
          </w:tcPr>
          <w:p w14:paraId="095A99DD">
            <w:pPr>
              <w:rPr>
                <w:rFonts w:ascii="Arial"/>
              </w:rPr>
            </w:pPr>
          </w:p>
        </w:tc>
      </w:tr>
    </w:tbl>
    <w:p w14:paraId="3A3257C5">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14:paraId="18D27654">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1</w:t>
      </w:r>
      <w:r>
        <w:rPr>
          <w:rFonts w:hint="eastAsia" w:ascii="宋体" w:hAnsi="宋体" w:eastAsia="宋体" w:cs="宋体"/>
          <w:spacing w:val="-6"/>
          <w:szCs w:val="21"/>
        </w:rPr>
        <w:t>.该明细表所有信息均为必填项，不得删减，可细化可增加。</w:t>
      </w:r>
    </w:p>
    <w:p w14:paraId="53F81AD9">
      <w:pPr>
        <w:spacing w:before="78" w:line="219" w:lineRule="auto"/>
        <w:ind w:left="431"/>
        <w:rPr>
          <w:rFonts w:hint="eastAsia" w:ascii="宋体" w:hAnsi="宋体" w:eastAsia="宋体" w:cs="宋体"/>
          <w:b/>
          <w:bCs/>
          <w:spacing w:val="-6"/>
          <w:szCs w:val="21"/>
          <w:highlight w:val="yellow"/>
          <w:lang w:val="en-US" w:eastAsia="zh-CN"/>
        </w:rPr>
      </w:pPr>
      <w:r>
        <w:rPr>
          <w:rFonts w:hint="eastAsia" w:ascii="宋体" w:hAnsi="宋体" w:eastAsia="宋体" w:cs="宋体"/>
          <w:b/>
          <w:bCs/>
          <w:spacing w:val="-6"/>
          <w:szCs w:val="21"/>
          <w:highlight w:val="yellow"/>
          <w:lang w:val="en-US" w:eastAsia="zh-CN"/>
        </w:rPr>
        <w:t>2.此表格需在技术标中体现，并明确规格型号、品牌等信息。</w:t>
      </w:r>
    </w:p>
    <w:p w14:paraId="5521FB75">
      <w:pPr>
        <w:spacing w:before="78" w:line="219" w:lineRule="auto"/>
        <w:ind w:left="431"/>
        <w:rPr>
          <w:rFonts w:hint="eastAsia" w:ascii="宋体" w:hAnsi="宋体" w:eastAsia="宋体" w:cs="宋体"/>
          <w:spacing w:val="-6"/>
          <w:szCs w:val="21"/>
          <w:highlight w:val="yellow"/>
          <w:lang w:val="en-US" w:eastAsia="zh-CN"/>
        </w:rPr>
      </w:pPr>
      <w:r>
        <w:rPr>
          <w:rFonts w:hint="eastAsia" w:ascii="宋体" w:hAnsi="宋体" w:eastAsia="宋体" w:cs="宋体"/>
          <w:spacing w:val="-6"/>
          <w:szCs w:val="21"/>
          <w:highlight w:val="yellow"/>
          <w:lang w:val="en-US" w:eastAsia="zh-CN"/>
        </w:rPr>
        <w:t>3.此表分项明细需要和附表9-1完全对应。</w:t>
      </w:r>
    </w:p>
    <w:p w14:paraId="23660CBF">
      <w:pPr>
        <w:spacing w:before="78" w:line="219" w:lineRule="auto"/>
        <w:ind w:left="431"/>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14:paraId="65F7F663">
      <w:pPr>
        <w:spacing w:before="78" w:line="219" w:lineRule="auto"/>
        <w:ind w:left="431"/>
        <w:rPr>
          <w:rFonts w:hint="eastAsia" w:ascii="宋体" w:hAnsi="宋体" w:eastAsia="宋体" w:cs="宋体"/>
          <w:b w:val="0"/>
          <w:bCs w:val="0"/>
          <w:spacing w:val="-6"/>
          <w:szCs w:val="21"/>
          <w:lang w:val="en-US" w:eastAsia="zh-CN"/>
        </w:rPr>
      </w:pPr>
    </w:p>
    <w:p w14:paraId="1588607C">
      <w:pPr>
        <w:spacing w:line="105" w:lineRule="exact"/>
      </w:pPr>
    </w:p>
    <w:p w14:paraId="5A319C55">
      <w:pPr>
        <w:sectPr>
          <w:footerReference r:id="rId24" w:type="default"/>
          <w:pgSz w:w="16841" w:h="11907" w:orient="landscape"/>
          <w:pgMar w:top="400" w:right="1387" w:bottom="1168" w:left="1473" w:header="0" w:footer="990" w:gutter="0"/>
          <w:cols w:space="720" w:num="1"/>
        </w:sectPr>
      </w:pPr>
    </w:p>
    <w:p w14:paraId="79546993">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14C73939">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7761CA8F">
      <w:pPr>
        <w:spacing w:before="40" w:line="186" w:lineRule="auto"/>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2558358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w:t>
      </w:r>
      <w:r>
        <w:rPr>
          <w:rFonts w:hint="eastAsia" w:ascii="Times New Roman" w:hAnsi="Times New Roman" w:eastAsia="宋体" w:cs="Times New Roman"/>
          <w:b/>
          <w:bCs/>
          <w:color w:val="000000"/>
          <w:sz w:val="24"/>
          <w:szCs w:val="24"/>
          <w:lang w:val="en-US" w:eastAsia="zh-CN"/>
        </w:rPr>
        <w:t>2</w:t>
      </w:r>
      <w:r>
        <w:rPr>
          <w:rFonts w:hint="eastAsia" w:ascii="Times New Roman" w:hAnsi="Times New Roman" w:eastAsia="宋体" w:cs="Times New Roman"/>
          <w:b/>
          <w:bCs/>
          <w:color w:val="000000"/>
          <w:sz w:val="24"/>
          <w:szCs w:val="24"/>
        </w:rPr>
        <w:t>年1月1日至今同类项目业绩一览表</w:t>
      </w:r>
    </w:p>
    <w:p w14:paraId="042B4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u w:val="single"/>
          <w:lang w:eastAsia="zh-CN"/>
        </w:rPr>
        <w:t>济南车桥公司桥壳加工线起重设备改造技改项目</w:t>
      </w:r>
      <w:r>
        <w:rPr>
          <w:rFonts w:ascii="宋体" w:hAnsi="宋体" w:eastAsia="宋体" w:cs="Times New Roman"/>
          <w:color w:val="000000"/>
          <w:sz w:val="24"/>
          <w:szCs w:val="24"/>
        </w:rPr>
        <w:t xml:space="preserve">                                                             </w:t>
      </w:r>
    </w:p>
    <w:tbl>
      <w:tblPr>
        <w:tblStyle w:val="3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1D042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372730DD">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2A6FBB46">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6C68E2EF">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67E2DE9B">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2FC52FBB">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5699B46D">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264693F4">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0C1FEE24">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7ACC8E7D">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547D8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16EFAA0">
            <w:pPr>
              <w:ind w:left="420" w:hanging="420"/>
              <w:rPr>
                <w:rFonts w:ascii="宋体" w:hAnsi="Times New Roman" w:eastAsia="宋体" w:cs="Times New Roman"/>
                <w:b/>
                <w:szCs w:val="20"/>
              </w:rPr>
            </w:pPr>
          </w:p>
        </w:tc>
        <w:tc>
          <w:tcPr>
            <w:tcW w:w="2082" w:type="dxa"/>
          </w:tcPr>
          <w:p w14:paraId="525EEEF8">
            <w:pPr>
              <w:ind w:left="420" w:hanging="420"/>
              <w:rPr>
                <w:rFonts w:ascii="宋体" w:hAnsi="Times New Roman" w:eastAsia="宋体" w:cs="Times New Roman"/>
                <w:b/>
                <w:szCs w:val="20"/>
              </w:rPr>
            </w:pPr>
          </w:p>
        </w:tc>
        <w:tc>
          <w:tcPr>
            <w:tcW w:w="1355" w:type="dxa"/>
          </w:tcPr>
          <w:p w14:paraId="39CFB21D">
            <w:pPr>
              <w:ind w:left="420" w:hanging="420"/>
              <w:rPr>
                <w:rFonts w:ascii="宋体" w:hAnsi="Times New Roman" w:eastAsia="宋体" w:cs="Times New Roman"/>
                <w:b/>
                <w:szCs w:val="20"/>
              </w:rPr>
            </w:pPr>
          </w:p>
        </w:tc>
        <w:tc>
          <w:tcPr>
            <w:tcW w:w="826" w:type="dxa"/>
          </w:tcPr>
          <w:p w14:paraId="397D2F26">
            <w:pPr>
              <w:ind w:left="420" w:hanging="420"/>
              <w:rPr>
                <w:rFonts w:ascii="宋体" w:hAnsi="Times New Roman" w:eastAsia="宋体" w:cs="Times New Roman"/>
                <w:b/>
                <w:szCs w:val="20"/>
              </w:rPr>
            </w:pPr>
          </w:p>
        </w:tc>
        <w:tc>
          <w:tcPr>
            <w:tcW w:w="1320" w:type="dxa"/>
          </w:tcPr>
          <w:p w14:paraId="0B29C7DA">
            <w:pPr>
              <w:ind w:left="420" w:hanging="420"/>
              <w:rPr>
                <w:rFonts w:ascii="宋体" w:hAnsi="Times New Roman" w:eastAsia="宋体" w:cs="Times New Roman"/>
                <w:b/>
                <w:szCs w:val="20"/>
              </w:rPr>
            </w:pPr>
          </w:p>
        </w:tc>
        <w:tc>
          <w:tcPr>
            <w:tcW w:w="1023" w:type="dxa"/>
          </w:tcPr>
          <w:p w14:paraId="123C1F11">
            <w:pPr>
              <w:ind w:left="420" w:hanging="420"/>
              <w:rPr>
                <w:rFonts w:ascii="宋体" w:hAnsi="Times New Roman" w:eastAsia="宋体" w:cs="Times New Roman"/>
                <w:b/>
                <w:szCs w:val="20"/>
              </w:rPr>
            </w:pPr>
          </w:p>
        </w:tc>
        <w:tc>
          <w:tcPr>
            <w:tcW w:w="1590" w:type="dxa"/>
          </w:tcPr>
          <w:p w14:paraId="25EED75D">
            <w:pPr>
              <w:ind w:left="420" w:hanging="420"/>
              <w:rPr>
                <w:rFonts w:ascii="宋体" w:hAnsi="Times New Roman" w:eastAsia="宋体" w:cs="Times New Roman"/>
                <w:b/>
                <w:szCs w:val="20"/>
              </w:rPr>
            </w:pPr>
          </w:p>
        </w:tc>
      </w:tr>
      <w:tr w14:paraId="72922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8F8356D">
            <w:pPr>
              <w:ind w:left="420" w:hanging="420"/>
              <w:rPr>
                <w:rFonts w:ascii="宋体" w:hAnsi="Times New Roman" w:eastAsia="宋体" w:cs="Times New Roman"/>
                <w:b/>
                <w:szCs w:val="20"/>
              </w:rPr>
            </w:pPr>
          </w:p>
        </w:tc>
        <w:tc>
          <w:tcPr>
            <w:tcW w:w="2082" w:type="dxa"/>
          </w:tcPr>
          <w:p w14:paraId="3AE2C582">
            <w:pPr>
              <w:ind w:left="420" w:hanging="420"/>
              <w:rPr>
                <w:rFonts w:ascii="宋体" w:hAnsi="Times New Roman" w:eastAsia="宋体" w:cs="Times New Roman"/>
                <w:b/>
                <w:szCs w:val="20"/>
              </w:rPr>
            </w:pPr>
          </w:p>
        </w:tc>
        <w:tc>
          <w:tcPr>
            <w:tcW w:w="1355" w:type="dxa"/>
          </w:tcPr>
          <w:p w14:paraId="7EC86A83">
            <w:pPr>
              <w:ind w:left="420" w:hanging="420"/>
              <w:rPr>
                <w:rFonts w:ascii="宋体" w:hAnsi="Times New Roman" w:eastAsia="宋体" w:cs="Times New Roman"/>
                <w:b/>
                <w:szCs w:val="20"/>
              </w:rPr>
            </w:pPr>
          </w:p>
        </w:tc>
        <w:tc>
          <w:tcPr>
            <w:tcW w:w="826" w:type="dxa"/>
          </w:tcPr>
          <w:p w14:paraId="4BF118C8">
            <w:pPr>
              <w:ind w:left="420" w:hanging="420"/>
              <w:rPr>
                <w:rFonts w:ascii="宋体" w:hAnsi="Times New Roman" w:eastAsia="宋体" w:cs="Times New Roman"/>
                <w:b/>
                <w:szCs w:val="20"/>
              </w:rPr>
            </w:pPr>
          </w:p>
        </w:tc>
        <w:tc>
          <w:tcPr>
            <w:tcW w:w="1320" w:type="dxa"/>
          </w:tcPr>
          <w:p w14:paraId="476111BF">
            <w:pPr>
              <w:ind w:left="420" w:hanging="420"/>
              <w:rPr>
                <w:rFonts w:ascii="宋体" w:hAnsi="Times New Roman" w:eastAsia="宋体" w:cs="Times New Roman"/>
                <w:b/>
                <w:szCs w:val="20"/>
              </w:rPr>
            </w:pPr>
          </w:p>
        </w:tc>
        <w:tc>
          <w:tcPr>
            <w:tcW w:w="1023" w:type="dxa"/>
          </w:tcPr>
          <w:p w14:paraId="5829599B">
            <w:pPr>
              <w:ind w:left="420" w:hanging="420"/>
              <w:rPr>
                <w:rFonts w:ascii="宋体" w:hAnsi="Times New Roman" w:eastAsia="宋体" w:cs="Times New Roman"/>
                <w:b/>
                <w:szCs w:val="20"/>
              </w:rPr>
            </w:pPr>
          </w:p>
        </w:tc>
        <w:tc>
          <w:tcPr>
            <w:tcW w:w="1590" w:type="dxa"/>
          </w:tcPr>
          <w:p w14:paraId="7F9D8464">
            <w:pPr>
              <w:ind w:left="420" w:hanging="420"/>
              <w:rPr>
                <w:rFonts w:ascii="宋体" w:hAnsi="Times New Roman" w:eastAsia="宋体" w:cs="Times New Roman"/>
                <w:b/>
                <w:szCs w:val="20"/>
              </w:rPr>
            </w:pPr>
          </w:p>
        </w:tc>
      </w:tr>
      <w:tr w14:paraId="1097C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2880844">
            <w:pPr>
              <w:ind w:left="420" w:hanging="420"/>
              <w:rPr>
                <w:rFonts w:ascii="宋体" w:hAnsi="Times New Roman" w:eastAsia="宋体" w:cs="Times New Roman"/>
                <w:b/>
                <w:szCs w:val="20"/>
              </w:rPr>
            </w:pPr>
          </w:p>
        </w:tc>
        <w:tc>
          <w:tcPr>
            <w:tcW w:w="2082" w:type="dxa"/>
          </w:tcPr>
          <w:p w14:paraId="363613AD">
            <w:pPr>
              <w:ind w:left="420" w:hanging="420"/>
              <w:rPr>
                <w:rFonts w:ascii="宋体" w:hAnsi="Times New Roman" w:eastAsia="宋体" w:cs="Times New Roman"/>
                <w:b/>
                <w:szCs w:val="20"/>
              </w:rPr>
            </w:pPr>
          </w:p>
        </w:tc>
        <w:tc>
          <w:tcPr>
            <w:tcW w:w="1355" w:type="dxa"/>
          </w:tcPr>
          <w:p w14:paraId="132B8034">
            <w:pPr>
              <w:ind w:left="420" w:hanging="420"/>
              <w:rPr>
                <w:rFonts w:ascii="宋体" w:hAnsi="Times New Roman" w:eastAsia="宋体" w:cs="Times New Roman"/>
                <w:b/>
                <w:szCs w:val="20"/>
              </w:rPr>
            </w:pPr>
          </w:p>
        </w:tc>
        <w:tc>
          <w:tcPr>
            <w:tcW w:w="826" w:type="dxa"/>
          </w:tcPr>
          <w:p w14:paraId="497B8104">
            <w:pPr>
              <w:ind w:left="420" w:hanging="420"/>
              <w:rPr>
                <w:rFonts w:ascii="宋体" w:hAnsi="Times New Roman" w:eastAsia="宋体" w:cs="Times New Roman"/>
                <w:b/>
                <w:szCs w:val="20"/>
              </w:rPr>
            </w:pPr>
          </w:p>
        </w:tc>
        <w:tc>
          <w:tcPr>
            <w:tcW w:w="1320" w:type="dxa"/>
          </w:tcPr>
          <w:p w14:paraId="273E1F9E">
            <w:pPr>
              <w:ind w:left="420" w:hanging="420"/>
              <w:rPr>
                <w:rFonts w:ascii="宋体" w:hAnsi="Times New Roman" w:eastAsia="宋体" w:cs="Times New Roman"/>
                <w:b/>
                <w:szCs w:val="20"/>
              </w:rPr>
            </w:pPr>
          </w:p>
        </w:tc>
        <w:tc>
          <w:tcPr>
            <w:tcW w:w="1023" w:type="dxa"/>
          </w:tcPr>
          <w:p w14:paraId="11998EEF">
            <w:pPr>
              <w:ind w:left="420" w:hanging="420"/>
              <w:rPr>
                <w:rFonts w:ascii="宋体" w:hAnsi="Times New Roman" w:eastAsia="宋体" w:cs="Times New Roman"/>
                <w:b/>
                <w:szCs w:val="20"/>
              </w:rPr>
            </w:pPr>
          </w:p>
        </w:tc>
        <w:tc>
          <w:tcPr>
            <w:tcW w:w="1590" w:type="dxa"/>
          </w:tcPr>
          <w:p w14:paraId="55DB454E">
            <w:pPr>
              <w:ind w:left="420" w:hanging="420"/>
              <w:rPr>
                <w:rFonts w:ascii="宋体" w:hAnsi="Times New Roman" w:eastAsia="宋体" w:cs="Times New Roman"/>
                <w:b/>
                <w:szCs w:val="20"/>
              </w:rPr>
            </w:pPr>
          </w:p>
        </w:tc>
      </w:tr>
      <w:tr w14:paraId="489CB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DB02C0A">
            <w:pPr>
              <w:ind w:left="420" w:hanging="420"/>
              <w:rPr>
                <w:rFonts w:ascii="宋体" w:hAnsi="Times New Roman" w:eastAsia="宋体" w:cs="Times New Roman"/>
                <w:b/>
                <w:szCs w:val="20"/>
              </w:rPr>
            </w:pPr>
          </w:p>
        </w:tc>
        <w:tc>
          <w:tcPr>
            <w:tcW w:w="2082" w:type="dxa"/>
          </w:tcPr>
          <w:p w14:paraId="3E234E51">
            <w:pPr>
              <w:ind w:left="420" w:hanging="420"/>
              <w:rPr>
                <w:rFonts w:ascii="宋体" w:hAnsi="Times New Roman" w:eastAsia="宋体" w:cs="Times New Roman"/>
                <w:b/>
                <w:szCs w:val="20"/>
              </w:rPr>
            </w:pPr>
          </w:p>
        </w:tc>
        <w:tc>
          <w:tcPr>
            <w:tcW w:w="1355" w:type="dxa"/>
          </w:tcPr>
          <w:p w14:paraId="65BC778E">
            <w:pPr>
              <w:ind w:left="420" w:hanging="420"/>
              <w:rPr>
                <w:rFonts w:ascii="宋体" w:hAnsi="Times New Roman" w:eastAsia="宋体" w:cs="Times New Roman"/>
                <w:b/>
                <w:szCs w:val="20"/>
              </w:rPr>
            </w:pPr>
          </w:p>
        </w:tc>
        <w:tc>
          <w:tcPr>
            <w:tcW w:w="826" w:type="dxa"/>
          </w:tcPr>
          <w:p w14:paraId="64E8C8E3">
            <w:pPr>
              <w:ind w:left="420" w:hanging="420"/>
              <w:rPr>
                <w:rFonts w:ascii="宋体" w:hAnsi="Times New Roman" w:eastAsia="宋体" w:cs="Times New Roman"/>
                <w:b/>
                <w:szCs w:val="20"/>
              </w:rPr>
            </w:pPr>
          </w:p>
        </w:tc>
        <w:tc>
          <w:tcPr>
            <w:tcW w:w="1320" w:type="dxa"/>
          </w:tcPr>
          <w:p w14:paraId="298A06FE">
            <w:pPr>
              <w:ind w:left="420" w:hanging="420"/>
              <w:rPr>
                <w:rFonts w:ascii="宋体" w:hAnsi="Times New Roman" w:eastAsia="宋体" w:cs="Times New Roman"/>
                <w:b/>
                <w:szCs w:val="20"/>
              </w:rPr>
            </w:pPr>
          </w:p>
        </w:tc>
        <w:tc>
          <w:tcPr>
            <w:tcW w:w="1023" w:type="dxa"/>
          </w:tcPr>
          <w:p w14:paraId="6344E1B7">
            <w:pPr>
              <w:ind w:left="420" w:hanging="420"/>
              <w:rPr>
                <w:rFonts w:ascii="宋体" w:hAnsi="Times New Roman" w:eastAsia="宋体" w:cs="Times New Roman"/>
                <w:b/>
                <w:szCs w:val="20"/>
              </w:rPr>
            </w:pPr>
          </w:p>
        </w:tc>
        <w:tc>
          <w:tcPr>
            <w:tcW w:w="1590" w:type="dxa"/>
          </w:tcPr>
          <w:p w14:paraId="2CB05504">
            <w:pPr>
              <w:ind w:left="420" w:hanging="420"/>
              <w:rPr>
                <w:rFonts w:ascii="宋体" w:hAnsi="Times New Roman" w:eastAsia="宋体" w:cs="Times New Roman"/>
                <w:b/>
                <w:szCs w:val="20"/>
              </w:rPr>
            </w:pPr>
          </w:p>
        </w:tc>
      </w:tr>
      <w:tr w14:paraId="4C79E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02A8C63">
            <w:pPr>
              <w:ind w:left="420" w:hanging="420"/>
              <w:rPr>
                <w:rFonts w:ascii="宋体" w:hAnsi="Times New Roman" w:eastAsia="宋体" w:cs="Times New Roman"/>
                <w:b/>
                <w:szCs w:val="20"/>
              </w:rPr>
            </w:pPr>
          </w:p>
        </w:tc>
        <w:tc>
          <w:tcPr>
            <w:tcW w:w="2082" w:type="dxa"/>
          </w:tcPr>
          <w:p w14:paraId="2542FFAA">
            <w:pPr>
              <w:ind w:left="420" w:hanging="420"/>
              <w:rPr>
                <w:rFonts w:ascii="宋体" w:hAnsi="Times New Roman" w:eastAsia="宋体" w:cs="Times New Roman"/>
                <w:b/>
                <w:szCs w:val="20"/>
              </w:rPr>
            </w:pPr>
          </w:p>
        </w:tc>
        <w:tc>
          <w:tcPr>
            <w:tcW w:w="1355" w:type="dxa"/>
          </w:tcPr>
          <w:p w14:paraId="2F14B42E">
            <w:pPr>
              <w:ind w:left="420" w:hanging="420"/>
              <w:rPr>
                <w:rFonts w:ascii="宋体" w:hAnsi="Times New Roman" w:eastAsia="宋体" w:cs="Times New Roman"/>
                <w:b/>
                <w:szCs w:val="20"/>
              </w:rPr>
            </w:pPr>
          </w:p>
        </w:tc>
        <w:tc>
          <w:tcPr>
            <w:tcW w:w="826" w:type="dxa"/>
          </w:tcPr>
          <w:p w14:paraId="0468CBE6">
            <w:pPr>
              <w:ind w:left="420" w:hanging="420"/>
              <w:rPr>
                <w:rFonts w:ascii="宋体" w:hAnsi="Times New Roman" w:eastAsia="宋体" w:cs="Times New Roman"/>
                <w:b/>
                <w:szCs w:val="20"/>
              </w:rPr>
            </w:pPr>
          </w:p>
        </w:tc>
        <w:tc>
          <w:tcPr>
            <w:tcW w:w="1320" w:type="dxa"/>
          </w:tcPr>
          <w:p w14:paraId="4FE432FF">
            <w:pPr>
              <w:ind w:left="420" w:hanging="420"/>
              <w:rPr>
                <w:rFonts w:ascii="宋体" w:hAnsi="Times New Roman" w:eastAsia="宋体" w:cs="Times New Roman"/>
                <w:b/>
                <w:szCs w:val="20"/>
              </w:rPr>
            </w:pPr>
          </w:p>
        </w:tc>
        <w:tc>
          <w:tcPr>
            <w:tcW w:w="1023" w:type="dxa"/>
          </w:tcPr>
          <w:p w14:paraId="1CF8A43D">
            <w:pPr>
              <w:ind w:left="420" w:hanging="420"/>
              <w:rPr>
                <w:rFonts w:ascii="宋体" w:hAnsi="Times New Roman" w:eastAsia="宋体" w:cs="Times New Roman"/>
                <w:b/>
                <w:szCs w:val="20"/>
              </w:rPr>
            </w:pPr>
          </w:p>
        </w:tc>
        <w:tc>
          <w:tcPr>
            <w:tcW w:w="1590" w:type="dxa"/>
          </w:tcPr>
          <w:p w14:paraId="3BC2F31A">
            <w:pPr>
              <w:ind w:left="420" w:hanging="420"/>
              <w:rPr>
                <w:rFonts w:ascii="宋体" w:hAnsi="Times New Roman" w:eastAsia="宋体" w:cs="Times New Roman"/>
                <w:b/>
                <w:szCs w:val="20"/>
              </w:rPr>
            </w:pPr>
          </w:p>
        </w:tc>
      </w:tr>
      <w:tr w14:paraId="12CA6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1C0B2E">
            <w:pPr>
              <w:ind w:left="420" w:hanging="420"/>
              <w:rPr>
                <w:rFonts w:ascii="宋体" w:hAnsi="Times New Roman" w:eastAsia="宋体" w:cs="Times New Roman"/>
                <w:b/>
                <w:szCs w:val="20"/>
              </w:rPr>
            </w:pPr>
          </w:p>
        </w:tc>
        <w:tc>
          <w:tcPr>
            <w:tcW w:w="2082" w:type="dxa"/>
          </w:tcPr>
          <w:p w14:paraId="1D5971A1">
            <w:pPr>
              <w:ind w:left="420" w:hanging="420"/>
              <w:rPr>
                <w:rFonts w:ascii="宋体" w:hAnsi="Times New Roman" w:eastAsia="宋体" w:cs="Times New Roman"/>
                <w:b/>
                <w:szCs w:val="20"/>
              </w:rPr>
            </w:pPr>
          </w:p>
        </w:tc>
        <w:tc>
          <w:tcPr>
            <w:tcW w:w="1355" w:type="dxa"/>
          </w:tcPr>
          <w:p w14:paraId="531D2338">
            <w:pPr>
              <w:ind w:left="420" w:hanging="420"/>
              <w:rPr>
                <w:rFonts w:ascii="宋体" w:hAnsi="Times New Roman" w:eastAsia="宋体" w:cs="Times New Roman"/>
                <w:b/>
                <w:szCs w:val="20"/>
              </w:rPr>
            </w:pPr>
          </w:p>
        </w:tc>
        <w:tc>
          <w:tcPr>
            <w:tcW w:w="826" w:type="dxa"/>
          </w:tcPr>
          <w:p w14:paraId="783EC5EC">
            <w:pPr>
              <w:ind w:left="420" w:hanging="420"/>
              <w:rPr>
                <w:rFonts w:ascii="宋体" w:hAnsi="Times New Roman" w:eastAsia="宋体" w:cs="Times New Roman"/>
                <w:b/>
                <w:szCs w:val="20"/>
              </w:rPr>
            </w:pPr>
          </w:p>
        </w:tc>
        <w:tc>
          <w:tcPr>
            <w:tcW w:w="1320" w:type="dxa"/>
          </w:tcPr>
          <w:p w14:paraId="4262285D">
            <w:pPr>
              <w:ind w:left="420" w:hanging="420"/>
              <w:rPr>
                <w:rFonts w:ascii="宋体" w:hAnsi="Times New Roman" w:eastAsia="宋体" w:cs="Times New Roman"/>
                <w:b/>
                <w:szCs w:val="20"/>
              </w:rPr>
            </w:pPr>
          </w:p>
        </w:tc>
        <w:tc>
          <w:tcPr>
            <w:tcW w:w="1023" w:type="dxa"/>
          </w:tcPr>
          <w:p w14:paraId="661BB9A4">
            <w:pPr>
              <w:ind w:left="420" w:hanging="420"/>
              <w:rPr>
                <w:rFonts w:ascii="宋体" w:hAnsi="Times New Roman" w:eastAsia="宋体" w:cs="Times New Roman"/>
                <w:b/>
                <w:szCs w:val="20"/>
              </w:rPr>
            </w:pPr>
          </w:p>
        </w:tc>
        <w:tc>
          <w:tcPr>
            <w:tcW w:w="1590" w:type="dxa"/>
          </w:tcPr>
          <w:p w14:paraId="222C02C3">
            <w:pPr>
              <w:ind w:left="420" w:hanging="420"/>
              <w:rPr>
                <w:rFonts w:ascii="宋体" w:hAnsi="Times New Roman" w:eastAsia="宋体" w:cs="Times New Roman"/>
                <w:b/>
                <w:szCs w:val="20"/>
              </w:rPr>
            </w:pPr>
          </w:p>
        </w:tc>
      </w:tr>
      <w:tr w14:paraId="534F9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98E6962">
            <w:pPr>
              <w:ind w:left="420" w:hanging="420"/>
              <w:rPr>
                <w:rFonts w:ascii="宋体" w:hAnsi="Times New Roman" w:eastAsia="宋体" w:cs="Times New Roman"/>
                <w:b/>
                <w:szCs w:val="20"/>
              </w:rPr>
            </w:pPr>
          </w:p>
        </w:tc>
        <w:tc>
          <w:tcPr>
            <w:tcW w:w="2082" w:type="dxa"/>
          </w:tcPr>
          <w:p w14:paraId="792063C7">
            <w:pPr>
              <w:ind w:left="420" w:hanging="420"/>
              <w:rPr>
                <w:rFonts w:ascii="宋体" w:hAnsi="Times New Roman" w:eastAsia="宋体" w:cs="Times New Roman"/>
                <w:b/>
                <w:szCs w:val="20"/>
              </w:rPr>
            </w:pPr>
          </w:p>
        </w:tc>
        <w:tc>
          <w:tcPr>
            <w:tcW w:w="1355" w:type="dxa"/>
          </w:tcPr>
          <w:p w14:paraId="5CE0E16A">
            <w:pPr>
              <w:ind w:left="420" w:hanging="420"/>
              <w:rPr>
                <w:rFonts w:ascii="宋体" w:hAnsi="Times New Roman" w:eastAsia="宋体" w:cs="Times New Roman"/>
                <w:b/>
                <w:szCs w:val="20"/>
              </w:rPr>
            </w:pPr>
          </w:p>
        </w:tc>
        <w:tc>
          <w:tcPr>
            <w:tcW w:w="826" w:type="dxa"/>
          </w:tcPr>
          <w:p w14:paraId="1ED83B30">
            <w:pPr>
              <w:ind w:left="420" w:hanging="420"/>
              <w:rPr>
                <w:rFonts w:ascii="宋体" w:hAnsi="Times New Roman" w:eastAsia="宋体" w:cs="Times New Roman"/>
                <w:b/>
                <w:szCs w:val="20"/>
              </w:rPr>
            </w:pPr>
          </w:p>
        </w:tc>
        <w:tc>
          <w:tcPr>
            <w:tcW w:w="1320" w:type="dxa"/>
          </w:tcPr>
          <w:p w14:paraId="2C591D25">
            <w:pPr>
              <w:ind w:left="420" w:hanging="420"/>
              <w:rPr>
                <w:rFonts w:ascii="宋体" w:hAnsi="Times New Roman" w:eastAsia="宋体" w:cs="Times New Roman"/>
                <w:b/>
                <w:szCs w:val="20"/>
              </w:rPr>
            </w:pPr>
          </w:p>
        </w:tc>
        <w:tc>
          <w:tcPr>
            <w:tcW w:w="1023" w:type="dxa"/>
          </w:tcPr>
          <w:p w14:paraId="6DC62F0B">
            <w:pPr>
              <w:ind w:left="420" w:hanging="420"/>
              <w:rPr>
                <w:rFonts w:ascii="宋体" w:hAnsi="Times New Roman" w:eastAsia="宋体" w:cs="Times New Roman"/>
                <w:b/>
                <w:szCs w:val="20"/>
              </w:rPr>
            </w:pPr>
          </w:p>
        </w:tc>
        <w:tc>
          <w:tcPr>
            <w:tcW w:w="1590" w:type="dxa"/>
          </w:tcPr>
          <w:p w14:paraId="1F4AA027">
            <w:pPr>
              <w:ind w:left="420" w:hanging="420"/>
              <w:rPr>
                <w:rFonts w:ascii="宋体" w:hAnsi="Times New Roman" w:eastAsia="宋体" w:cs="Times New Roman"/>
                <w:b/>
                <w:szCs w:val="20"/>
              </w:rPr>
            </w:pPr>
          </w:p>
        </w:tc>
      </w:tr>
      <w:tr w14:paraId="02D4A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907FF8D">
            <w:pPr>
              <w:ind w:left="420" w:hanging="420"/>
              <w:rPr>
                <w:rFonts w:ascii="宋体" w:hAnsi="Times New Roman" w:eastAsia="宋体" w:cs="Times New Roman"/>
                <w:b/>
                <w:szCs w:val="20"/>
              </w:rPr>
            </w:pPr>
          </w:p>
        </w:tc>
        <w:tc>
          <w:tcPr>
            <w:tcW w:w="2082" w:type="dxa"/>
          </w:tcPr>
          <w:p w14:paraId="6DE82BA1">
            <w:pPr>
              <w:ind w:left="420" w:hanging="420"/>
              <w:rPr>
                <w:rFonts w:ascii="宋体" w:hAnsi="Times New Roman" w:eastAsia="宋体" w:cs="Times New Roman"/>
                <w:b/>
                <w:szCs w:val="20"/>
              </w:rPr>
            </w:pPr>
          </w:p>
        </w:tc>
        <w:tc>
          <w:tcPr>
            <w:tcW w:w="1355" w:type="dxa"/>
          </w:tcPr>
          <w:p w14:paraId="6F399CBD">
            <w:pPr>
              <w:ind w:left="420" w:hanging="420"/>
              <w:rPr>
                <w:rFonts w:ascii="宋体" w:hAnsi="Times New Roman" w:eastAsia="宋体" w:cs="Times New Roman"/>
                <w:b/>
                <w:szCs w:val="20"/>
              </w:rPr>
            </w:pPr>
          </w:p>
        </w:tc>
        <w:tc>
          <w:tcPr>
            <w:tcW w:w="826" w:type="dxa"/>
          </w:tcPr>
          <w:p w14:paraId="3574915A">
            <w:pPr>
              <w:ind w:left="420" w:hanging="420"/>
              <w:rPr>
                <w:rFonts w:ascii="宋体" w:hAnsi="Times New Roman" w:eastAsia="宋体" w:cs="Times New Roman"/>
                <w:b/>
                <w:szCs w:val="20"/>
              </w:rPr>
            </w:pPr>
          </w:p>
        </w:tc>
        <w:tc>
          <w:tcPr>
            <w:tcW w:w="1320" w:type="dxa"/>
          </w:tcPr>
          <w:p w14:paraId="2B5DDFE2">
            <w:pPr>
              <w:ind w:left="420" w:hanging="420"/>
              <w:rPr>
                <w:rFonts w:ascii="宋体" w:hAnsi="Times New Roman" w:eastAsia="宋体" w:cs="Times New Roman"/>
                <w:b/>
                <w:szCs w:val="20"/>
              </w:rPr>
            </w:pPr>
          </w:p>
        </w:tc>
        <w:tc>
          <w:tcPr>
            <w:tcW w:w="1023" w:type="dxa"/>
          </w:tcPr>
          <w:p w14:paraId="1C4E9C66">
            <w:pPr>
              <w:ind w:left="420" w:hanging="420"/>
              <w:rPr>
                <w:rFonts w:ascii="宋体" w:hAnsi="Times New Roman" w:eastAsia="宋体" w:cs="Times New Roman"/>
                <w:b/>
                <w:szCs w:val="20"/>
              </w:rPr>
            </w:pPr>
          </w:p>
        </w:tc>
        <w:tc>
          <w:tcPr>
            <w:tcW w:w="1590" w:type="dxa"/>
          </w:tcPr>
          <w:p w14:paraId="7D3E35B7">
            <w:pPr>
              <w:ind w:left="420" w:hanging="420"/>
              <w:rPr>
                <w:rFonts w:ascii="宋体" w:hAnsi="Times New Roman" w:eastAsia="宋体" w:cs="Times New Roman"/>
                <w:b/>
                <w:szCs w:val="20"/>
              </w:rPr>
            </w:pPr>
          </w:p>
        </w:tc>
      </w:tr>
      <w:tr w14:paraId="17443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6A831C3">
            <w:pPr>
              <w:ind w:left="420" w:hanging="420"/>
              <w:rPr>
                <w:rFonts w:ascii="宋体" w:hAnsi="Times New Roman" w:eastAsia="宋体" w:cs="Times New Roman"/>
                <w:b/>
                <w:szCs w:val="20"/>
              </w:rPr>
            </w:pPr>
          </w:p>
        </w:tc>
        <w:tc>
          <w:tcPr>
            <w:tcW w:w="2082" w:type="dxa"/>
          </w:tcPr>
          <w:p w14:paraId="5A0E2855">
            <w:pPr>
              <w:ind w:left="420" w:hanging="420"/>
              <w:rPr>
                <w:rFonts w:ascii="宋体" w:hAnsi="Times New Roman" w:eastAsia="宋体" w:cs="Times New Roman"/>
                <w:b/>
                <w:szCs w:val="20"/>
              </w:rPr>
            </w:pPr>
          </w:p>
        </w:tc>
        <w:tc>
          <w:tcPr>
            <w:tcW w:w="1355" w:type="dxa"/>
          </w:tcPr>
          <w:p w14:paraId="3E2D8C8A">
            <w:pPr>
              <w:ind w:left="420" w:hanging="420"/>
              <w:rPr>
                <w:rFonts w:ascii="宋体" w:hAnsi="Times New Roman" w:eastAsia="宋体" w:cs="Times New Roman"/>
                <w:b/>
                <w:szCs w:val="20"/>
              </w:rPr>
            </w:pPr>
          </w:p>
        </w:tc>
        <w:tc>
          <w:tcPr>
            <w:tcW w:w="826" w:type="dxa"/>
          </w:tcPr>
          <w:p w14:paraId="74F7E52B">
            <w:pPr>
              <w:ind w:left="420" w:hanging="420"/>
              <w:rPr>
                <w:rFonts w:ascii="宋体" w:hAnsi="Times New Roman" w:eastAsia="宋体" w:cs="Times New Roman"/>
                <w:b/>
                <w:szCs w:val="20"/>
              </w:rPr>
            </w:pPr>
          </w:p>
        </w:tc>
        <w:tc>
          <w:tcPr>
            <w:tcW w:w="1320" w:type="dxa"/>
          </w:tcPr>
          <w:p w14:paraId="51AA99E2">
            <w:pPr>
              <w:ind w:left="420" w:hanging="420"/>
              <w:rPr>
                <w:rFonts w:ascii="宋体" w:hAnsi="Times New Roman" w:eastAsia="宋体" w:cs="Times New Roman"/>
                <w:b/>
                <w:szCs w:val="20"/>
              </w:rPr>
            </w:pPr>
          </w:p>
        </w:tc>
        <w:tc>
          <w:tcPr>
            <w:tcW w:w="1023" w:type="dxa"/>
          </w:tcPr>
          <w:p w14:paraId="5E75EC40">
            <w:pPr>
              <w:ind w:left="420" w:hanging="420"/>
              <w:rPr>
                <w:rFonts w:ascii="宋体" w:hAnsi="Times New Roman" w:eastAsia="宋体" w:cs="Times New Roman"/>
                <w:b/>
                <w:szCs w:val="20"/>
              </w:rPr>
            </w:pPr>
          </w:p>
        </w:tc>
        <w:tc>
          <w:tcPr>
            <w:tcW w:w="1590" w:type="dxa"/>
          </w:tcPr>
          <w:p w14:paraId="447AFB48">
            <w:pPr>
              <w:ind w:left="420" w:hanging="420"/>
              <w:rPr>
                <w:rFonts w:ascii="宋体" w:hAnsi="Times New Roman" w:eastAsia="宋体" w:cs="Times New Roman"/>
                <w:b/>
                <w:szCs w:val="20"/>
              </w:rPr>
            </w:pPr>
          </w:p>
        </w:tc>
      </w:tr>
      <w:tr w14:paraId="45300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0B13E9C">
            <w:pPr>
              <w:ind w:left="420" w:hanging="420"/>
              <w:rPr>
                <w:rFonts w:ascii="宋体" w:hAnsi="Times New Roman" w:eastAsia="宋体" w:cs="Times New Roman"/>
                <w:b/>
                <w:szCs w:val="20"/>
              </w:rPr>
            </w:pPr>
          </w:p>
        </w:tc>
        <w:tc>
          <w:tcPr>
            <w:tcW w:w="2082" w:type="dxa"/>
          </w:tcPr>
          <w:p w14:paraId="35D4CA6E">
            <w:pPr>
              <w:ind w:left="420" w:hanging="420"/>
              <w:rPr>
                <w:rFonts w:ascii="宋体" w:hAnsi="Times New Roman" w:eastAsia="宋体" w:cs="Times New Roman"/>
                <w:b/>
                <w:szCs w:val="20"/>
              </w:rPr>
            </w:pPr>
          </w:p>
        </w:tc>
        <w:tc>
          <w:tcPr>
            <w:tcW w:w="1355" w:type="dxa"/>
          </w:tcPr>
          <w:p w14:paraId="365E0711">
            <w:pPr>
              <w:ind w:left="420" w:hanging="420"/>
              <w:rPr>
                <w:rFonts w:ascii="宋体" w:hAnsi="Times New Roman" w:eastAsia="宋体" w:cs="Times New Roman"/>
                <w:b/>
                <w:szCs w:val="20"/>
              </w:rPr>
            </w:pPr>
          </w:p>
        </w:tc>
        <w:tc>
          <w:tcPr>
            <w:tcW w:w="826" w:type="dxa"/>
          </w:tcPr>
          <w:p w14:paraId="50E4B588">
            <w:pPr>
              <w:ind w:left="420" w:hanging="420"/>
              <w:rPr>
                <w:rFonts w:ascii="宋体" w:hAnsi="Times New Roman" w:eastAsia="宋体" w:cs="Times New Roman"/>
                <w:b/>
                <w:szCs w:val="20"/>
              </w:rPr>
            </w:pPr>
          </w:p>
        </w:tc>
        <w:tc>
          <w:tcPr>
            <w:tcW w:w="1320" w:type="dxa"/>
          </w:tcPr>
          <w:p w14:paraId="77DC6D96">
            <w:pPr>
              <w:ind w:left="420" w:hanging="420"/>
              <w:rPr>
                <w:rFonts w:ascii="宋体" w:hAnsi="Times New Roman" w:eastAsia="宋体" w:cs="Times New Roman"/>
                <w:b/>
                <w:szCs w:val="20"/>
              </w:rPr>
            </w:pPr>
          </w:p>
        </w:tc>
        <w:tc>
          <w:tcPr>
            <w:tcW w:w="1023" w:type="dxa"/>
          </w:tcPr>
          <w:p w14:paraId="323E0865">
            <w:pPr>
              <w:ind w:left="420" w:hanging="420"/>
              <w:rPr>
                <w:rFonts w:ascii="宋体" w:hAnsi="Times New Roman" w:eastAsia="宋体" w:cs="Times New Roman"/>
                <w:b/>
                <w:szCs w:val="20"/>
              </w:rPr>
            </w:pPr>
          </w:p>
        </w:tc>
        <w:tc>
          <w:tcPr>
            <w:tcW w:w="1590" w:type="dxa"/>
          </w:tcPr>
          <w:p w14:paraId="6100F270">
            <w:pPr>
              <w:ind w:left="420" w:hanging="420"/>
              <w:rPr>
                <w:rFonts w:ascii="宋体" w:hAnsi="Times New Roman" w:eastAsia="宋体" w:cs="Times New Roman"/>
                <w:b/>
                <w:szCs w:val="20"/>
              </w:rPr>
            </w:pPr>
          </w:p>
        </w:tc>
      </w:tr>
      <w:tr w14:paraId="0D112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F5D617">
            <w:pPr>
              <w:ind w:left="420" w:hanging="420"/>
              <w:rPr>
                <w:rFonts w:ascii="宋体" w:hAnsi="Times New Roman" w:eastAsia="宋体" w:cs="Times New Roman"/>
                <w:b/>
                <w:szCs w:val="20"/>
              </w:rPr>
            </w:pPr>
          </w:p>
        </w:tc>
        <w:tc>
          <w:tcPr>
            <w:tcW w:w="2082" w:type="dxa"/>
          </w:tcPr>
          <w:p w14:paraId="67CF2AE2">
            <w:pPr>
              <w:ind w:left="420" w:hanging="420"/>
              <w:rPr>
                <w:rFonts w:ascii="宋体" w:hAnsi="Times New Roman" w:eastAsia="宋体" w:cs="Times New Roman"/>
                <w:b/>
                <w:szCs w:val="20"/>
              </w:rPr>
            </w:pPr>
          </w:p>
        </w:tc>
        <w:tc>
          <w:tcPr>
            <w:tcW w:w="1355" w:type="dxa"/>
          </w:tcPr>
          <w:p w14:paraId="21D3F422">
            <w:pPr>
              <w:ind w:left="420" w:hanging="420"/>
              <w:rPr>
                <w:rFonts w:ascii="宋体" w:hAnsi="Times New Roman" w:eastAsia="宋体" w:cs="Times New Roman"/>
                <w:b/>
                <w:szCs w:val="20"/>
              </w:rPr>
            </w:pPr>
          </w:p>
        </w:tc>
        <w:tc>
          <w:tcPr>
            <w:tcW w:w="826" w:type="dxa"/>
          </w:tcPr>
          <w:p w14:paraId="4A4C3EA6">
            <w:pPr>
              <w:ind w:left="420" w:hanging="420"/>
              <w:rPr>
                <w:rFonts w:ascii="宋体" w:hAnsi="Times New Roman" w:eastAsia="宋体" w:cs="Times New Roman"/>
                <w:b/>
                <w:szCs w:val="20"/>
              </w:rPr>
            </w:pPr>
          </w:p>
        </w:tc>
        <w:tc>
          <w:tcPr>
            <w:tcW w:w="1320" w:type="dxa"/>
          </w:tcPr>
          <w:p w14:paraId="51DB1D85">
            <w:pPr>
              <w:ind w:left="420" w:hanging="420"/>
              <w:rPr>
                <w:rFonts w:ascii="宋体" w:hAnsi="Times New Roman" w:eastAsia="宋体" w:cs="Times New Roman"/>
                <w:b/>
                <w:szCs w:val="20"/>
              </w:rPr>
            </w:pPr>
          </w:p>
        </w:tc>
        <w:tc>
          <w:tcPr>
            <w:tcW w:w="1023" w:type="dxa"/>
          </w:tcPr>
          <w:p w14:paraId="6CBD5F7A">
            <w:pPr>
              <w:ind w:left="420" w:hanging="420"/>
              <w:rPr>
                <w:rFonts w:ascii="宋体" w:hAnsi="Times New Roman" w:eastAsia="宋体" w:cs="Times New Roman"/>
                <w:b/>
                <w:szCs w:val="20"/>
              </w:rPr>
            </w:pPr>
          </w:p>
        </w:tc>
        <w:tc>
          <w:tcPr>
            <w:tcW w:w="1590" w:type="dxa"/>
          </w:tcPr>
          <w:p w14:paraId="4C3C9B3B">
            <w:pPr>
              <w:ind w:left="420" w:hanging="420"/>
              <w:rPr>
                <w:rFonts w:ascii="宋体" w:hAnsi="Times New Roman" w:eastAsia="宋体" w:cs="Times New Roman"/>
                <w:b/>
                <w:szCs w:val="20"/>
              </w:rPr>
            </w:pPr>
          </w:p>
        </w:tc>
      </w:tr>
      <w:tr w14:paraId="25AAA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2710824">
            <w:pPr>
              <w:ind w:left="420" w:hanging="420"/>
              <w:rPr>
                <w:rFonts w:ascii="宋体" w:hAnsi="Times New Roman" w:eastAsia="宋体" w:cs="Times New Roman"/>
                <w:b/>
                <w:szCs w:val="20"/>
              </w:rPr>
            </w:pPr>
          </w:p>
        </w:tc>
        <w:tc>
          <w:tcPr>
            <w:tcW w:w="2082" w:type="dxa"/>
          </w:tcPr>
          <w:p w14:paraId="5E3DC533">
            <w:pPr>
              <w:ind w:left="420" w:hanging="420"/>
              <w:rPr>
                <w:rFonts w:ascii="宋体" w:hAnsi="Times New Roman" w:eastAsia="宋体" w:cs="Times New Roman"/>
                <w:b/>
                <w:szCs w:val="20"/>
              </w:rPr>
            </w:pPr>
          </w:p>
        </w:tc>
        <w:tc>
          <w:tcPr>
            <w:tcW w:w="1355" w:type="dxa"/>
          </w:tcPr>
          <w:p w14:paraId="37590C92">
            <w:pPr>
              <w:ind w:left="420" w:hanging="420"/>
              <w:rPr>
                <w:rFonts w:ascii="宋体" w:hAnsi="Times New Roman" w:eastAsia="宋体" w:cs="Times New Roman"/>
                <w:b/>
                <w:szCs w:val="20"/>
              </w:rPr>
            </w:pPr>
          </w:p>
        </w:tc>
        <w:tc>
          <w:tcPr>
            <w:tcW w:w="826" w:type="dxa"/>
          </w:tcPr>
          <w:p w14:paraId="06CFF8AA">
            <w:pPr>
              <w:ind w:left="420" w:hanging="420"/>
              <w:rPr>
                <w:rFonts w:ascii="宋体" w:hAnsi="Times New Roman" w:eastAsia="宋体" w:cs="Times New Roman"/>
                <w:b/>
                <w:szCs w:val="20"/>
              </w:rPr>
            </w:pPr>
          </w:p>
        </w:tc>
        <w:tc>
          <w:tcPr>
            <w:tcW w:w="1320" w:type="dxa"/>
          </w:tcPr>
          <w:p w14:paraId="3B5F4C2D">
            <w:pPr>
              <w:ind w:left="420" w:hanging="420"/>
              <w:rPr>
                <w:rFonts w:ascii="宋体" w:hAnsi="Times New Roman" w:eastAsia="宋体" w:cs="Times New Roman"/>
                <w:b/>
                <w:szCs w:val="20"/>
              </w:rPr>
            </w:pPr>
          </w:p>
        </w:tc>
        <w:tc>
          <w:tcPr>
            <w:tcW w:w="1023" w:type="dxa"/>
          </w:tcPr>
          <w:p w14:paraId="138A1E51">
            <w:pPr>
              <w:ind w:left="420" w:hanging="420"/>
              <w:rPr>
                <w:rFonts w:ascii="宋体" w:hAnsi="Times New Roman" w:eastAsia="宋体" w:cs="Times New Roman"/>
                <w:b/>
                <w:szCs w:val="20"/>
              </w:rPr>
            </w:pPr>
          </w:p>
        </w:tc>
        <w:tc>
          <w:tcPr>
            <w:tcW w:w="1590" w:type="dxa"/>
          </w:tcPr>
          <w:p w14:paraId="17E9AFA6">
            <w:pPr>
              <w:ind w:left="420" w:hanging="420"/>
              <w:rPr>
                <w:rFonts w:ascii="宋体" w:hAnsi="Times New Roman" w:eastAsia="宋体" w:cs="Times New Roman"/>
                <w:b/>
                <w:szCs w:val="20"/>
              </w:rPr>
            </w:pPr>
          </w:p>
        </w:tc>
      </w:tr>
      <w:tr w14:paraId="71215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75DDD78A">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rPr>
              <w:t>2</w:t>
            </w:r>
            <w:r>
              <w:rPr>
                <w:rFonts w:hint="eastAsia" w:ascii="宋体" w:hAnsi="宋体" w:eastAsia="宋体" w:cs="宋体"/>
                <w:sz w:val="24"/>
                <w:szCs w:val="24"/>
                <w:highlight w:val="yellow"/>
                <w:lang w:val="en-US" w:eastAsia="zh-CN"/>
              </w:rPr>
              <w:t>2</w:t>
            </w:r>
            <w:r>
              <w:rPr>
                <w:rFonts w:ascii="宋体" w:hAnsi="宋体" w:eastAsia="宋体" w:cs="宋体"/>
                <w:sz w:val="24"/>
                <w:szCs w:val="24"/>
                <w:highlight w:val="yellow"/>
              </w:rPr>
              <w:t>年1月1日至今所有业绩合同总额汇总（必填）</w:t>
            </w:r>
          </w:p>
        </w:tc>
        <w:tc>
          <w:tcPr>
            <w:tcW w:w="826" w:type="dxa"/>
          </w:tcPr>
          <w:p w14:paraId="668BC801">
            <w:pPr>
              <w:ind w:left="420" w:hanging="420"/>
              <w:rPr>
                <w:rFonts w:ascii="宋体" w:hAnsi="Times New Roman" w:eastAsia="宋体" w:cs="Times New Roman"/>
                <w:b/>
                <w:szCs w:val="20"/>
              </w:rPr>
            </w:pPr>
          </w:p>
        </w:tc>
        <w:tc>
          <w:tcPr>
            <w:tcW w:w="1320" w:type="dxa"/>
          </w:tcPr>
          <w:p w14:paraId="7C8CD42D">
            <w:pPr>
              <w:ind w:left="420" w:hanging="420"/>
              <w:rPr>
                <w:rFonts w:ascii="宋体" w:hAnsi="Times New Roman" w:eastAsia="宋体" w:cs="Times New Roman"/>
                <w:b/>
                <w:szCs w:val="20"/>
              </w:rPr>
            </w:pPr>
          </w:p>
        </w:tc>
        <w:tc>
          <w:tcPr>
            <w:tcW w:w="1023" w:type="dxa"/>
          </w:tcPr>
          <w:p w14:paraId="74566960">
            <w:pPr>
              <w:ind w:left="420" w:hanging="420"/>
              <w:rPr>
                <w:rFonts w:ascii="宋体" w:hAnsi="Times New Roman" w:eastAsia="宋体" w:cs="Times New Roman"/>
                <w:b/>
                <w:szCs w:val="20"/>
              </w:rPr>
            </w:pPr>
          </w:p>
        </w:tc>
        <w:tc>
          <w:tcPr>
            <w:tcW w:w="1590" w:type="dxa"/>
          </w:tcPr>
          <w:p w14:paraId="10CF52C9">
            <w:pPr>
              <w:ind w:left="420" w:hanging="420"/>
              <w:rPr>
                <w:rFonts w:ascii="宋体" w:hAnsi="Times New Roman" w:eastAsia="宋体" w:cs="Times New Roman"/>
                <w:b/>
                <w:szCs w:val="20"/>
              </w:rPr>
            </w:pPr>
          </w:p>
        </w:tc>
      </w:tr>
    </w:tbl>
    <w:p w14:paraId="4BB734E4">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w:t>
      </w:r>
      <w:r>
        <w:rPr>
          <w:rFonts w:hint="eastAsia" w:ascii="宋体" w:hAnsi="宋体" w:eastAsia="宋体" w:cs="宋体"/>
          <w:kern w:val="0"/>
          <w:sz w:val="24"/>
          <w:szCs w:val="20"/>
          <w:lang w:val="en-US" w:eastAsia="zh-CN"/>
        </w:rPr>
        <w:t>2</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13D5E8FA">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BFC8E73">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ECF7E78">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B8B4761">
      <w:pPr>
        <w:rPr>
          <w:rFonts w:ascii="宋体" w:hAnsi="Calibri" w:eastAsia="宋体" w:cs="宋体"/>
          <w:b/>
          <w:bCs/>
          <w:color w:val="000000"/>
          <w:sz w:val="28"/>
        </w:rPr>
      </w:pPr>
    </w:p>
    <w:p w14:paraId="3CDF602F">
      <w:pPr>
        <w:rPr>
          <w:rFonts w:ascii="宋体" w:hAnsi="Calibri" w:eastAsia="宋体" w:cs="宋体"/>
          <w:b/>
          <w:bCs/>
          <w:color w:val="000000"/>
          <w:sz w:val="28"/>
        </w:rPr>
        <w:sectPr>
          <w:footerReference r:id="rId26" w:type="first"/>
          <w:footerReference r:id="rId25"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47DEA4A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065A46A6">
      <w:pPr>
        <w:spacing w:line="240" w:lineRule="exact"/>
        <w:rPr>
          <w:rFonts w:ascii="宋体" w:hAnsi="宋体" w:eastAsia="宋体" w:cs="Times New Roman"/>
          <w:szCs w:val="20"/>
        </w:rPr>
      </w:pPr>
      <w:r>
        <w:rPr>
          <w:rFonts w:ascii="宋体" w:hAnsi="宋体" w:eastAsia="宋体" w:cs="Times New Roman"/>
          <w:szCs w:val="20"/>
        </w:rPr>
        <w:t xml:space="preserve">                                               </w:t>
      </w:r>
    </w:p>
    <w:p w14:paraId="7C72E687">
      <w:pPr>
        <w:spacing w:line="360" w:lineRule="auto"/>
        <w:rPr>
          <w:rFonts w:hint="eastAsia" w:ascii="宋体" w:hAnsi="宋体" w:eastAsia="宋体" w:cs="宋体"/>
          <w:sz w:val="24"/>
          <w:szCs w:val="24"/>
          <w:u w:val="single"/>
          <w:lang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szCs w:val="24"/>
          <w:u w:val="single"/>
          <w:lang w:eastAsia="zh-CN"/>
        </w:rPr>
        <w:t>济南车桥公司桥壳加工线起重设备改造技改项目</w:t>
      </w:r>
    </w:p>
    <w:p w14:paraId="11B08DF3">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重汽（济南）车桥有限公司</w:t>
      </w:r>
      <w:r>
        <w:rPr>
          <w:rFonts w:hint="eastAsia" w:ascii="宋体" w:hAnsi="宋体" w:eastAsia="宋体" w:cs="Times New Roman"/>
          <w:b/>
          <w:bCs/>
          <w:sz w:val="24"/>
          <w:szCs w:val="20"/>
        </w:rPr>
        <w:t>：</w:t>
      </w:r>
    </w:p>
    <w:p w14:paraId="6D66F9FE">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4B0504E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4F8CFC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45C28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3849F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EBF523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A4FDCD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461881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94FE97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97E45A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7EBE2C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297AC7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F0D083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1DDF64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8DAA8E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F53E65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BC2A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993ED8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6E4432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EE27217">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46B01A70">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456D20C">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BC20104">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BC42DA0">
      <w:pPr>
        <w:rPr>
          <w:rFonts w:ascii="宋体" w:hAnsi="Calibri" w:eastAsia="宋体" w:cs="宋体"/>
          <w:b/>
          <w:bCs/>
          <w:color w:val="000000"/>
          <w:sz w:val="28"/>
          <w:szCs w:val="20"/>
        </w:rPr>
        <w:sectPr>
          <w:footerReference r:id="rId28" w:type="first"/>
          <w:footerReference r:id="rId27"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1DB5099A">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0A3E90DF">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1148A5A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u w:val="single"/>
          <w:lang w:eastAsia="zh-CN"/>
        </w:rPr>
        <w:t>济南车桥公司桥壳加工线起重设备改造技改项目</w:t>
      </w:r>
      <w:r>
        <w:rPr>
          <w:rFonts w:ascii="宋体" w:hAnsi="宋体" w:eastAsia="宋体" w:cs="Times New Roman"/>
          <w:color w:val="000000"/>
          <w:sz w:val="24"/>
          <w:szCs w:val="24"/>
        </w:rPr>
        <w:t xml:space="preserve">                                                        </w:t>
      </w:r>
    </w:p>
    <w:tbl>
      <w:tblPr>
        <w:tblStyle w:val="36"/>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15BFC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095F6CA7">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89C5C1C">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23F017AF">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13D4B8F5">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56D76448">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2CD2BC49">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0649D336">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277F5B23">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0051DE1D">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70DFF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18C1FE4A">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4E87233A">
            <w:pPr>
              <w:jc w:val="center"/>
              <w:rPr>
                <w:rFonts w:hint="eastAsia" w:ascii="Times New Roman" w:hAnsi="Times New Roman" w:eastAsia="宋体" w:cs="Times New Roman"/>
                <w:b/>
                <w:szCs w:val="20"/>
                <w:lang w:eastAsia="zh-CN"/>
              </w:rPr>
            </w:pPr>
            <w:r>
              <w:rPr>
                <w:rFonts w:hint="eastAsia" w:ascii="宋体" w:hAnsi="宋体" w:eastAsia="宋体" w:cs="宋体"/>
                <w:sz w:val="24"/>
                <w:szCs w:val="24"/>
                <w:u w:val="single"/>
                <w:lang w:eastAsia="zh-CN"/>
              </w:rPr>
              <w:t>济南车桥公司桥壳加工线起重设备改造技改项目</w:t>
            </w:r>
          </w:p>
        </w:tc>
        <w:tc>
          <w:tcPr>
            <w:tcW w:w="848" w:type="dxa"/>
            <w:vAlign w:val="center"/>
          </w:tcPr>
          <w:p w14:paraId="55E0066A">
            <w:pPr>
              <w:jc w:val="center"/>
              <w:rPr>
                <w:rFonts w:ascii="Times New Roman" w:hAnsi="Times New Roman" w:eastAsia="宋体" w:cs="Times New Roman"/>
                <w:b/>
                <w:szCs w:val="20"/>
              </w:rPr>
            </w:pPr>
            <w:r>
              <w:rPr>
                <w:rFonts w:ascii="Times New Roman" w:hAnsi="Times New Roman" w:eastAsia="宋体" w:cs="Times New Roman"/>
                <w:b/>
                <w:szCs w:val="20"/>
              </w:rPr>
              <w:t>1</w:t>
            </w:r>
            <w:r>
              <w:rPr>
                <w:rFonts w:hint="eastAsia" w:ascii="Times New Roman" w:hAnsi="Times New Roman" w:eastAsia="宋体" w:cs="Times New Roman"/>
                <w:b/>
                <w:szCs w:val="20"/>
              </w:rPr>
              <w:t>套</w:t>
            </w:r>
          </w:p>
        </w:tc>
        <w:tc>
          <w:tcPr>
            <w:tcW w:w="2270" w:type="dxa"/>
            <w:vAlign w:val="center"/>
          </w:tcPr>
          <w:p w14:paraId="02B2EC30">
            <w:pPr>
              <w:jc w:val="center"/>
              <w:rPr>
                <w:rFonts w:ascii="等线" w:hAnsi="等线" w:eastAsia="等线" w:cs="Times New Roman"/>
                <w:b/>
                <w:szCs w:val="20"/>
              </w:rPr>
            </w:pPr>
            <w:r>
              <w:rPr>
                <w:rFonts w:hint="eastAsia" w:ascii="等线" w:hAnsi="等线" w:eastAsia="等线" w:cs="Times New Roman"/>
                <w:b/>
                <w:szCs w:val="20"/>
              </w:rPr>
              <w:t>不含税价：</w:t>
            </w:r>
          </w:p>
          <w:p w14:paraId="6C11C907">
            <w:pPr>
              <w:jc w:val="center"/>
              <w:rPr>
                <w:rFonts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52684C4B">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730EF989">
            <w:pPr>
              <w:jc w:val="center"/>
              <w:rPr>
                <w:rFonts w:ascii="Times New Roman" w:hAnsi="Times New Roman" w:eastAsia="宋体" w:cs="Times New Roman"/>
                <w:b/>
                <w:szCs w:val="20"/>
              </w:rPr>
            </w:pPr>
          </w:p>
        </w:tc>
        <w:tc>
          <w:tcPr>
            <w:tcW w:w="1243" w:type="dxa"/>
            <w:vAlign w:val="center"/>
          </w:tcPr>
          <w:p w14:paraId="546261AC">
            <w:pPr>
              <w:jc w:val="center"/>
              <w:rPr>
                <w:rFonts w:ascii="Times New Roman" w:hAnsi="Times New Roman" w:eastAsia="宋体" w:cs="Times New Roman"/>
                <w:b/>
                <w:szCs w:val="20"/>
              </w:rPr>
            </w:pPr>
          </w:p>
        </w:tc>
        <w:tc>
          <w:tcPr>
            <w:tcW w:w="705" w:type="dxa"/>
            <w:vAlign w:val="center"/>
          </w:tcPr>
          <w:p w14:paraId="2FA7E629">
            <w:pPr>
              <w:jc w:val="center"/>
              <w:rPr>
                <w:rFonts w:ascii="Times New Roman" w:hAnsi="Times New Roman" w:eastAsia="宋体" w:cs="Times New Roman"/>
                <w:b/>
                <w:szCs w:val="20"/>
              </w:rPr>
            </w:pPr>
          </w:p>
        </w:tc>
        <w:tc>
          <w:tcPr>
            <w:tcW w:w="699" w:type="dxa"/>
            <w:vAlign w:val="center"/>
          </w:tcPr>
          <w:p w14:paraId="327389D7">
            <w:pPr>
              <w:jc w:val="center"/>
              <w:rPr>
                <w:rFonts w:ascii="Times New Roman" w:hAnsi="Times New Roman" w:eastAsia="宋体" w:cs="Times New Roman"/>
                <w:b/>
                <w:szCs w:val="20"/>
              </w:rPr>
            </w:pPr>
          </w:p>
        </w:tc>
      </w:tr>
    </w:tbl>
    <w:p w14:paraId="628C2C58">
      <w:pPr>
        <w:rPr>
          <w:rFonts w:ascii="宋体" w:hAnsi="Arial" w:eastAsia="宋体" w:cs="Times New Roman"/>
          <w:sz w:val="24"/>
          <w:szCs w:val="24"/>
        </w:rPr>
      </w:pPr>
    </w:p>
    <w:p w14:paraId="75F4085B">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7E22BFC8">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554F9833">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35BF823B">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14:paraId="6B4059D8">
      <w:pPr>
        <w:pStyle w:val="16"/>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0036AF38">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17135AE0">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0FBC526">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57A5113">
      <w:pPr>
        <w:ind w:firstLine="480"/>
        <w:rPr>
          <w:rFonts w:ascii="宋体" w:hAnsi="Calibri" w:eastAsia="宋体" w:cs="Times New Roman"/>
          <w:color w:val="000000"/>
          <w:sz w:val="24"/>
          <w:szCs w:val="24"/>
        </w:rPr>
      </w:pPr>
    </w:p>
    <w:p w14:paraId="312A6F89">
      <w:pPr>
        <w:pStyle w:val="16"/>
        <w:sectPr>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1BD8B2A6">
      <w:pPr>
        <w:rPr>
          <w:rFonts w:ascii="宋体" w:hAnsi="宋体" w:cs="宋体"/>
          <w:color w:val="000000"/>
          <w:sz w:val="24"/>
          <w:szCs w:val="24"/>
        </w:rPr>
      </w:pPr>
    </w:p>
    <w:p w14:paraId="422CDF04">
      <w:pPr>
        <w:pStyle w:val="6"/>
        <w:keepNext/>
        <w:keepLines/>
        <w:pageBreakBefore w:val="0"/>
        <w:widowControl w:val="0"/>
        <w:kinsoku/>
        <w:wordWrap/>
        <w:overflowPunct/>
        <w:topLinePunct w:val="0"/>
        <w:autoSpaceDE/>
        <w:autoSpaceDN/>
        <w:bidi w:val="0"/>
        <w:adjustRightInd/>
        <w:snapToGrid/>
        <w:spacing w:after="60" w:line="416" w:lineRule="auto"/>
        <w:jc w:val="left"/>
        <w:textAlignment w:val="auto"/>
        <w:rPr>
          <w:rFonts w:hint="eastAsia" w:ascii="宋体" w:hAnsi="宋体" w:eastAsia="宋体" w:cs="宋体"/>
          <w:spacing w:val="8"/>
          <w:sz w:val="16"/>
          <w:szCs w:val="16"/>
          <w:lang w:eastAsia="zh-CN"/>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37CA4241">
      <w:pPr>
        <w:keepNext/>
        <w:keepLines/>
        <w:spacing w:line="400" w:lineRule="exact"/>
        <w:jc w:val="center"/>
        <w:rPr>
          <w:rFonts w:ascii="宋体" w:hAnsi="宋体" w:eastAsia="宋体" w:cs="宋体"/>
          <w:spacing w:val="8"/>
          <w:sz w:val="24"/>
          <w:szCs w:val="24"/>
          <w14:textOutline w14:w="5791" w14:cap="flat" w14:cmpd="sng" w14:algn="ctr">
            <w14:solidFill>
              <w14:srgbClr w14:val="000000"/>
            </w14:solidFill>
            <w14:prstDash w14:val="solid"/>
            <w14:miter w14:val="0"/>
          </w14:textOutline>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06EE818B">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cs="宋体"/>
          <w:szCs w:val="21"/>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9"/>
        <w:tblW w:w="13997" w:type="dxa"/>
        <w:tblInd w:w="13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58"/>
        <w:gridCol w:w="2865"/>
        <w:gridCol w:w="1658"/>
        <w:gridCol w:w="977"/>
        <w:gridCol w:w="942"/>
        <w:gridCol w:w="1889"/>
        <w:gridCol w:w="1602"/>
        <w:gridCol w:w="1864"/>
        <w:gridCol w:w="1642"/>
      </w:tblGrid>
      <w:tr w14:paraId="77A9DA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558" w:type="dxa"/>
            <w:tcBorders>
              <w:top w:val="single" w:color="000000" w:sz="2" w:space="0"/>
              <w:left w:val="single" w:color="000000" w:sz="2" w:space="0"/>
              <w:bottom w:val="single" w:color="000000" w:sz="2" w:space="0"/>
              <w:right w:val="single" w:color="000000" w:sz="2" w:space="0"/>
            </w:tcBorders>
            <w:vAlign w:val="center"/>
          </w:tcPr>
          <w:p w14:paraId="7335CEE0">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1</w:t>
            </w:r>
          </w:p>
        </w:tc>
        <w:tc>
          <w:tcPr>
            <w:tcW w:w="2865" w:type="dxa"/>
            <w:tcBorders>
              <w:top w:val="single" w:color="000000" w:sz="2" w:space="0"/>
              <w:left w:val="single" w:color="000000" w:sz="2" w:space="0"/>
              <w:bottom w:val="single" w:color="000000" w:sz="2" w:space="0"/>
              <w:right w:val="single" w:color="000000" w:sz="2" w:space="0"/>
            </w:tcBorders>
            <w:vAlign w:val="center"/>
          </w:tcPr>
          <w:p w14:paraId="5D89B685">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2</w:t>
            </w:r>
          </w:p>
        </w:tc>
        <w:tc>
          <w:tcPr>
            <w:tcW w:w="1658" w:type="dxa"/>
            <w:tcBorders>
              <w:top w:val="single" w:color="000000" w:sz="2" w:space="0"/>
              <w:left w:val="single" w:color="000000" w:sz="2" w:space="0"/>
              <w:bottom w:val="single" w:color="000000" w:sz="2" w:space="0"/>
              <w:right w:val="single" w:color="000000" w:sz="2" w:space="0"/>
            </w:tcBorders>
            <w:vAlign w:val="center"/>
          </w:tcPr>
          <w:p w14:paraId="0006126D">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3</w:t>
            </w:r>
          </w:p>
        </w:tc>
        <w:tc>
          <w:tcPr>
            <w:tcW w:w="977" w:type="dxa"/>
            <w:tcBorders>
              <w:top w:val="single" w:color="000000" w:sz="2" w:space="0"/>
              <w:left w:val="single" w:color="000000" w:sz="2" w:space="0"/>
              <w:bottom w:val="single" w:color="000000" w:sz="2" w:space="0"/>
              <w:right w:val="single" w:color="000000" w:sz="2" w:space="0"/>
            </w:tcBorders>
            <w:vAlign w:val="center"/>
          </w:tcPr>
          <w:p w14:paraId="23101238">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4</w:t>
            </w:r>
          </w:p>
        </w:tc>
        <w:tc>
          <w:tcPr>
            <w:tcW w:w="942" w:type="dxa"/>
            <w:tcBorders>
              <w:top w:val="single" w:color="000000" w:sz="2" w:space="0"/>
              <w:left w:val="single" w:color="000000" w:sz="2" w:space="0"/>
              <w:bottom w:val="single" w:color="000000" w:sz="2" w:space="0"/>
              <w:right w:val="single" w:color="000000" w:sz="2" w:space="0"/>
            </w:tcBorders>
            <w:vAlign w:val="center"/>
          </w:tcPr>
          <w:p w14:paraId="7690E964">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5</w:t>
            </w:r>
          </w:p>
        </w:tc>
        <w:tc>
          <w:tcPr>
            <w:tcW w:w="1889" w:type="dxa"/>
            <w:tcBorders>
              <w:top w:val="single" w:color="000000" w:sz="2" w:space="0"/>
              <w:left w:val="single" w:color="000000" w:sz="2" w:space="0"/>
              <w:bottom w:val="single" w:color="000000" w:sz="2" w:space="0"/>
              <w:right w:val="single" w:color="000000" w:sz="2" w:space="0"/>
            </w:tcBorders>
            <w:vAlign w:val="center"/>
          </w:tcPr>
          <w:p w14:paraId="3C5FF9A2">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6</w:t>
            </w:r>
          </w:p>
        </w:tc>
        <w:tc>
          <w:tcPr>
            <w:tcW w:w="1602" w:type="dxa"/>
            <w:tcBorders>
              <w:top w:val="single" w:color="000000" w:sz="2" w:space="0"/>
              <w:left w:val="single" w:color="000000" w:sz="2" w:space="0"/>
              <w:bottom w:val="single" w:color="000000" w:sz="2" w:space="0"/>
              <w:right w:val="single" w:color="000000" w:sz="4" w:space="0"/>
            </w:tcBorders>
            <w:vAlign w:val="center"/>
          </w:tcPr>
          <w:p w14:paraId="6E89A485">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7</w:t>
            </w:r>
          </w:p>
        </w:tc>
        <w:tc>
          <w:tcPr>
            <w:tcW w:w="1864" w:type="dxa"/>
            <w:tcBorders>
              <w:top w:val="single" w:color="000000" w:sz="2" w:space="0"/>
              <w:left w:val="nil"/>
              <w:bottom w:val="single" w:color="000000" w:sz="2" w:space="0"/>
              <w:right w:val="single" w:color="000000" w:sz="2" w:space="0"/>
            </w:tcBorders>
            <w:vAlign w:val="center"/>
          </w:tcPr>
          <w:p w14:paraId="77B432AD">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8</w:t>
            </w:r>
          </w:p>
        </w:tc>
        <w:tc>
          <w:tcPr>
            <w:tcW w:w="1642" w:type="dxa"/>
            <w:tcBorders>
              <w:top w:val="single" w:color="000000" w:sz="2" w:space="0"/>
              <w:left w:val="single" w:color="000000" w:sz="2" w:space="0"/>
              <w:bottom w:val="single" w:color="000000" w:sz="2" w:space="0"/>
              <w:right w:val="single" w:color="000000" w:sz="2" w:space="0"/>
            </w:tcBorders>
            <w:vAlign w:val="center"/>
          </w:tcPr>
          <w:p w14:paraId="7A653D77">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9</w:t>
            </w:r>
          </w:p>
        </w:tc>
      </w:tr>
      <w:tr w14:paraId="09AC08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1" w:hRule="atLeast"/>
        </w:trPr>
        <w:tc>
          <w:tcPr>
            <w:tcW w:w="558" w:type="dxa"/>
            <w:tcBorders>
              <w:top w:val="single" w:color="000000" w:sz="2" w:space="0"/>
              <w:left w:val="single" w:color="000000" w:sz="2" w:space="0"/>
              <w:bottom w:val="single" w:color="000000" w:sz="2" w:space="0"/>
              <w:right w:val="single" w:color="000000" w:sz="2" w:space="0"/>
            </w:tcBorders>
            <w:vAlign w:val="center"/>
          </w:tcPr>
          <w:p w14:paraId="36996FF0">
            <w:pPr>
              <w:jc w:val="center"/>
              <w:rPr>
                <w:rFonts w:ascii="宋体" w:hAnsi="宋体" w:eastAsia="宋体" w:cs="Times New Roman"/>
                <w:b/>
                <w:kern w:val="0"/>
                <w:sz w:val="20"/>
                <w:szCs w:val="20"/>
              </w:rPr>
            </w:pPr>
            <w:r>
              <w:rPr>
                <w:rFonts w:hint="eastAsia" w:ascii="宋体" w:hAnsi="宋体" w:eastAsia="Times New Roman" w:cs="Times New Roman"/>
                <w:b/>
                <w:spacing w:val="-2"/>
                <w:kern w:val="0"/>
                <w:sz w:val="20"/>
                <w:szCs w:val="20"/>
              </w:rPr>
              <w:t>序</w:t>
            </w:r>
            <w:r>
              <w:rPr>
                <w:rFonts w:hint="eastAsia" w:ascii="宋体" w:hAnsi="宋体" w:eastAsia="Times New Roman" w:cs="Times New Roman"/>
                <w:b/>
                <w:spacing w:val="-1"/>
                <w:kern w:val="0"/>
                <w:sz w:val="20"/>
                <w:szCs w:val="20"/>
              </w:rPr>
              <w:t>号</w:t>
            </w:r>
          </w:p>
        </w:tc>
        <w:tc>
          <w:tcPr>
            <w:tcW w:w="2865" w:type="dxa"/>
            <w:tcBorders>
              <w:top w:val="single" w:color="000000" w:sz="2" w:space="0"/>
              <w:left w:val="single" w:color="000000" w:sz="2" w:space="0"/>
              <w:bottom w:val="single" w:color="000000" w:sz="2" w:space="0"/>
              <w:right w:val="single" w:color="000000" w:sz="2" w:space="0"/>
            </w:tcBorders>
            <w:vAlign w:val="center"/>
          </w:tcPr>
          <w:p w14:paraId="2201DD28">
            <w:pPr>
              <w:jc w:val="center"/>
              <w:rPr>
                <w:rFonts w:ascii="宋体" w:hAnsi="宋体" w:eastAsia="宋体" w:cs="Times New Roman"/>
                <w:b/>
                <w:kern w:val="0"/>
                <w:sz w:val="20"/>
                <w:szCs w:val="20"/>
              </w:rPr>
            </w:pPr>
            <w:r>
              <w:rPr>
                <w:rFonts w:hint="eastAsia" w:ascii="宋体" w:hAnsi="宋体" w:eastAsia="Times New Roman" w:cs="Times New Roman"/>
                <w:b/>
                <w:spacing w:val="-2"/>
                <w:kern w:val="0"/>
                <w:sz w:val="20"/>
                <w:szCs w:val="20"/>
              </w:rPr>
              <w:t>货物名</w:t>
            </w:r>
            <w:r>
              <w:rPr>
                <w:rFonts w:hint="eastAsia" w:ascii="宋体" w:hAnsi="宋体" w:eastAsia="Times New Roman" w:cs="Times New Roman"/>
                <w:b/>
                <w:spacing w:val="-1"/>
                <w:kern w:val="0"/>
                <w:sz w:val="20"/>
                <w:szCs w:val="20"/>
              </w:rPr>
              <w:t>称</w:t>
            </w:r>
          </w:p>
        </w:tc>
        <w:tc>
          <w:tcPr>
            <w:tcW w:w="1658" w:type="dxa"/>
            <w:tcBorders>
              <w:top w:val="single" w:color="000000" w:sz="2" w:space="0"/>
              <w:left w:val="single" w:color="000000" w:sz="2" w:space="0"/>
              <w:bottom w:val="single" w:color="000000" w:sz="2" w:space="0"/>
              <w:right w:val="single" w:color="000000" w:sz="2" w:space="0"/>
            </w:tcBorders>
            <w:vAlign w:val="center"/>
          </w:tcPr>
          <w:p w14:paraId="30B888BE">
            <w:pPr>
              <w:jc w:val="center"/>
              <w:rPr>
                <w:rFonts w:ascii="宋体" w:hAnsi="宋体" w:eastAsia="宋体" w:cs="Times New Roman"/>
                <w:b/>
                <w:kern w:val="0"/>
                <w:sz w:val="20"/>
                <w:szCs w:val="20"/>
              </w:rPr>
            </w:pPr>
            <w:r>
              <w:rPr>
                <w:rFonts w:hint="eastAsia" w:ascii="宋体" w:hAnsi="宋体" w:eastAsia="Times New Roman" w:cs="Times New Roman"/>
                <w:b/>
                <w:spacing w:val="-2"/>
                <w:kern w:val="0"/>
                <w:sz w:val="20"/>
                <w:szCs w:val="20"/>
              </w:rPr>
              <w:t>型号和</w:t>
            </w:r>
            <w:r>
              <w:rPr>
                <w:rFonts w:hint="eastAsia" w:ascii="宋体" w:hAnsi="宋体" w:eastAsia="Times New Roman" w:cs="Times New Roman"/>
                <w:b/>
                <w:spacing w:val="-1"/>
                <w:kern w:val="0"/>
                <w:sz w:val="20"/>
                <w:szCs w:val="20"/>
              </w:rPr>
              <w:t>规格</w:t>
            </w:r>
          </w:p>
        </w:tc>
        <w:tc>
          <w:tcPr>
            <w:tcW w:w="977" w:type="dxa"/>
            <w:tcBorders>
              <w:top w:val="single" w:color="000000" w:sz="2" w:space="0"/>
              <w:left w:val="single" w:color="000000" w:sz="2" w:space="0"/>
              <w:bottom w:val="single" w:color="000000" w:sz="2" w:space="0"/>
              <w:right w:val="single" w:color="000000" w:sz="2" w:space="0"/>
            </w:tcBorders>
            <w:vAlign w:val="center"/>
          </w:tcPr>
          <w:p w14:paraId="4E41D97D">
            <w:pPr>
              <w:jc w:val="center"/>
              <w:rPr>
                <w:rFonts w:ascii="宋体" w:hAnsi="宋体" w:eastAsia="宋体" w:cs="Times New Roman"/>
                <w:b/>
                <w:spacing w:val="-2"/>
                <w:kern w:val="0"/>
                <w:sz w:val="20"/>
                <w:szCs w:val="20"/>
              </w:rPr>
            </w:pPr>
            <w:r>
              <w:rPr>
                <w:rFonts w:hint="eastAsia" w:ascii="宋体" w:hAnsi="宋体" w:eastAsia="Times New Roman" w:cs="Times New Roman"/>
                <w:b/>
                <w:spacing w:val="-2"/>
                <w:kern w:val="0"/>
                <w:sz w:val="20"/>
                <w:szCs w:val="20"/>
              </w:rPr>
              <w:t>单位</w:t>
            </w:r>
          </w:p>
        </w:tc>
        <w:tc>
          <w:tcPr>
            <w:tcW w:w="942" w:type="dxa"/>
            <w:tcBorders>
              <w:top w:val="single" w:color="000000" w:sz="2" w:space="0"/>
              <w:left w:val="single" w:color="000000" w:sz="2" w:space="0"/>
              <w:bottom w:val="single" w:color="000000" w:sz="2" w:space="0"/>
              <w:right w:val="single" w:color="000000" w:sz="2" w:space="0"/>
            </w:tcBorders>
            <w:vAlign w:val="center"/>
          </w:tcPr>
          <w:p w14:paraId="710F839D">
            <w:pPr>
              <w:jc w:val="center"/>
              <w:rPr>
                <w:rFonts w:ascii="宋体" w:hAnsi="宋体" w:eastAsia="宋体" w:cs="Times New Roman"/>
                <w:b/>
                <w:kern w:val="0"/>
                <w:sz w:val="20"/>
                <w:szCs w:val="20"/>
              </w:rPr>
            </w:pPr>
            <w:r>
              <w:rPr>
                <w:rFonts w:hint="eastAsia" w:ascii="宋体" w:hAnsi="宋体" w:eastAsia="Times New Roman" w:cs="Times New Roman"/>
                <w:b/>
                <w:spacing w:val="-2"/>
                <w:kern w:val="0"/>
                <w:sz w:val="20"/>
                <w:szCs w:val="20"/>
              </w:rPr>
              <w:t>数量</w:t>
            </w:r>
          </w:p>
        </w:tc>
        <w:tc>
          <w:tcPr>
            <w:tcW w:w="1889" w:type="dxa"/>
            <w:tcBorders>
              <w:top w:val="single" w:color="000000" w:sz="2" w:space="0"/>
              <w:left w:val="single" w:color="000000" w:sz="2" w:space="0"/>
              <w:bottom w:val="single" w:color="000000" w:sz="2" w:space="0"/>
              <w:right w:val="single" w:color="000000" w:sz="2" w:space="0"/>
            </w:tcBorders>
            <w:vAlign w:val="center"/>
          </w:tcPr>
          <w:p w14:paraId="0B29CBFB">
            <w:pPr>
              <w:jc w:val="center"/>
              <w:rPr>
                <w:rFonts w:ascii="宋体" w:hAnsi="宋体" w:eastAsia="宋体" w:cs="Times New Roman"/>
                <w:b/>
                <w:kern w:val="0"/>
                <w:sz w:val="20"/>
                <w:szCs w:val="20"/>
              </w:rPr>
            </w:pPr>
            <w:r>
              <w:rPr>
                <w:rFonts w:hint="eastAsia" w:ascii="宋体" w:hAnsi="宋体" w:eastAsia="Times New Roman" w:cs="Times New Roman"/>
                <w:b/>
                <w:spacing w:val="-3"/>
                <w:kern w:val="0"/>
                <w:sz w:val="20"/>
                <w:szCs w:val="20"/>
              </w:rPr>
              <w:t>原</w:t>
            </w:r>
            <w:r>
              <w:rPr>
                <w:rFonts w:hint="eastAsia" w:ascii="宋体" w:hAnsi="宋体" w:eastAsia="Times New Roman" w:cs="Times New Roman"/>
                <w:b/>
                <w:spacing w:val="-2"/>
                <w:kern w:val="0"/>
                <w:sz w:val="20"/>
                <w:szCs w:val="20"/>
              </w:rPr>
              <w:t>产地和</w:t>
            </w:r>
            <w:r>
              <w:rPr>
                <w:rFonts w:hint="eastAsia" w:ascii="宋体" w:hAnsi="宋体" w:eastAsia="Times New Roman" w:cs="Times New Roman"/>
                <w:b/>
                <w:spacing w:val="-1"/>
                <w:kern w:val="0"/>
                <w:sz w:val="20"/>
                <w:szCs w:val="20"/>
              </w:rPr>
              <w:t>制造商名</w:t>
            </w:r>
            <w:r>
              <w:rPr>
                <w:rFonts w:hint="eastAsia" w:ascii="宋体" w:hAnsi="宋体" w:eastAsia="Times New Roman" w:cs="Times New Roman"/>
                <w:b/>
                <w:kern w:val="0"/>
                <w:sz w:val="20"/>
                <w:szCs w:val="20"/>
              </w:rPr>
              <w:t>称</w:t>
            </w:r>
          </w:p>
        </w:tc>
        <w:tc>
          <w:tcPr>
            <w:tcW w:w="1602" w:type="dxa"/>
            <w:tcBorders>
              <w:top w:val="single" w:color="000000" w:sz="2" w:space="0"/>
              <w:left w:val="single" w:color="000000" w:sz="2" w:space="0"/>
              <w:bottom w:val="single" w:color="000000" w:sz="2" w:space="0"/>
              <w:right w:val="single" w:color="000000" w:sz="4" w:space="0"/>
            </w:tcBorders>
            <w:vAlign w:val="center"/>
          </w:tcPr>
          <w:p w14:paraId="6883CA6B">
            <w:pPr>
              <w:jc w:val="center"/>
              <w:rPr>
                <w:rFonts w:ascii="宋体" w:hAnsi="宋体" w:eastAsia="Times New Roman" w:cs="Times New Roman"/>
                <w:b/>
                <w:kern w:val="0"/>
                <w:sz w:val="20"/>
                <w:szCs w:val="20"/>
              </w:rPr>
            </w:pPr>
            <w:r>
              <w:rPr>
                <w:rFonts w:hint="eastAsia" w:ascii="宋体" w:hAnsi="宋体" w:eastAsia="Times New Roman" w:cs="Times New Roman"/>
                <w:b/>
                <w:spacing w:val="1"/>
                <w:kern w:val="0"/>
                <w:sz w:val="20"/>
                <w:szCs w:val="20"/>
              </w:rPr>
              <w:t>单</w:t>
            </w:r>
            <w:r>
              <w:rPr>
                <w:rFonts w:hint="eastAsia" w:ascii="宋体" w:hAnsi="宋体" w:eastAsia="Times New Roman" w:cs="Times New Roman"/>
                <w:b/>
                <w:kern w:val="0"/>
                <w:sz w:val="20"/>
                <w:szCs w:val="20"/>
              </w:rPr>
              <w:t>价</w:t>
            </w:r>
            <w:r>
              <w:rPr>
                <w:rFonts w:hint="eastAsia" w:ascii="宋体" w:hAnsi="宋体" w:eastAsia="Times New Roman" w:cs="Times New Roman"/>
                <w:b/>
                <w:spacing w:val="-3"/>
                <w:kern w:val="0"/>
                <w:sz w:val="20"/>
                <w:szCs w:val="20"/>
              </w:rPr>
              <w:t>（不含税）</w:t>
            </w:r>
          </w:p>
          <w:p w14:paraId="1F1EDCCD">
            <w:pPr>
              <w:jc w:val="center"/>
              <w:rPr>
                <w:rFonts w:ascii="宋体" w:hAnsi="宋体" w:eastAsia="宋体" w:cs="Times New Roman"/>
                <w:b/>
                <w:kern w:val="0"/>
                <w:sz w:val="20"/>
                <w:szCs w:val="20"/>
              </w:rPr>
            </w:pPr>
            <w:r>
              <w:rPr>
                <w:rFonts w:hint="eastAsia" w:ascii="宋体" w:hAnsi="宋体" w:eastAsia="Times New Roman" w:cs="Times New Roman"/>
                <w:b/>
                <w:spacing w:val="-16"/>
                <w:kern w:val="0"/>
                <w:sz w:val="20"/>
                <w:szCs w:val="20"/>
              </w:rPr>
              <w:t>(</w:t>
            </w:r>
            <w:r>
              <w:rPr>
                <w:rFonts w:hint="eastAsia" w:ascii="宋体" w:hAnsi="宋体" w:eastAsia="Times New Roman" w:cs="Times New Roman"/>
                <w:b/>
                <w:spacing w:val="-14"/>
                <w:kern w:val="0"/>
                <w:sz w:val="20"/>
                <w:szCs w:val="20"/>
              </w:rPr>
              <w:t>元)</w:t>
            </w:r>
          </w:p>
        </w:tc>
        <w:tc>
          <w:tcPr>
            <w:tcW w:w="1864" w:type="dxa"/>
            <w:tcBorders>
              <w:top w:val="single" w:color="000000" w:sz="2" w:space="0"/>
              <w:left w:val="nil"/>
              <w:bottom w:val="single" w:color="000000" w:sz="2" w:space="0"/>
              <w:right w:val="single" w:color="000000" w:sz="2" w:space="0"/>
            </w:tcBorders>
            <w:vAlign w:val="center"/>
          </w:tcPr>
          <w:p w14:paraId="0128E3B7">
            <w:pPr>
              <w:jc w:val="center"/>
              <w:rPr>
                <w:rFonts w:ascii="宋体" w:hAnsi="宋体" w:eastAsia="Times New Roman" w:cs="Times New Roman"/>
                <w:b/>
                <w:spacing w:val="-3"/>
                <w:kern w:val="0"/>
                <w:sz w:val="20"/>
                <w:szCs w:val="20"/>
              </w:rPr>
            </w:pPr>
            <w:r>
              <w:rPr>
                <w:rFonts w:hint="eastAsia" w:ascii="宋体" w:hAnsi="宋体" w:eastAsia="Times New Roman" w:cs="Times New Roman"/>
                <w:b/>
                <w:spacing w:val="-1"/>
                <w:kern w:val="0"/>
                <w:sz w:val="20"/>
                <w:szCs w:val="20"/>
              </w:rPr>
              <w:t>总价[6</w:t>
            </w:r>
            <w:r>
              <w:rPr>
                <w:rFonts w:hint="eastAsia" w:ascii="宋体" w:hAnsi="宋体" w:eastAsia="Times New Roman" w:cs="Times New Roman"/>
                <w:b/>
                <w:kern w:val="0"/>
                <w:sz w:val="20"/>
                <w:szCs w:val="20"/>
              </w:rPr>
              <w:t>×8]</w:t>
            </w:r>
            <w:r>
              <w:rPr>
                <w:rFonts w:hint="eastAsia" w:ascii="宋体" w:hAnsi="宋体" w:eastAsia="Times New Roman" w:cs="Times New Roman"/>
                <w:b/>
                <w:spacing w:val="-3"/>
                <w:kern w:val="0"/>
                <w:sz w:val="20"/>
                <w:szCs w:val="20"/>
              </w:rPr>
              <w:t>（不含税）</w:t>
            </w:r>
          </w:p>
          <w:p w14:paraId="7041E6FA">
            <w:pPr>
              <w:jc w:val="center"/>
              <w:rPr>
                <w:rFonts w:ascii="宋体" w:hAnsi="宋体" w:eastAsia="宋体" w:cs="Times New Roman"/>
                <w:b/>
                <w:kern w:val="0"/>
                <w:sz w:val="20"/>
                <w:szCs w:val="20"/>
              </w:rPr>
            </w:pPr>
            <w:r>
              <w:rPr>
                <w:rFonts w:hint="eastAsia" w:ascii="宋体" w:hAnsi="宋体" w:eastAsia="Times New Roman" w:cs="Times New Roman"/>
                <w:b/>
                <w:spacing w:val="27"/>
                <w:kern w:val="0"/>
                <w:sz w:val="20"/>
                <w:szCs w:val="20"/>
              </w:rPr>
              <w:t>(</w:t>
            </w:r>
            <w:r>
              <w:rPr>
                <w:rFonts w:hint="eastAsia" w:ascii="宋体" w:hAnsi="宋体" w:eastAsia="Times New Roman" w:cs="Times New Roman"/>
                <w:b/>
                <w:spacing w:val="26"/>
                <w:kern w:val="0"/>
                <w:sz w:val="20"/>
                <w:szCs w:val="20"/>
              </w:rPr>
              <w:t>元)</w:t>
            </w:r>
          </w:p>
        </w:tc>
        <w:tc>
          <w:tcPr>
            <w:tcW w:w="1642" w:type="dxa"/>
            <w:tcBorders>
              <w:top w:val="single" w:color="000000" w:sz="2" w:space="0"/>
              <w:left w:val="single" w:color="000000" w:sz="2" w:space="0"/>
              <w:bottom w:val="single" w:color="000000" w:sz="2" w:space="0"/>
              <w:right w:val="single" w:color="000000" w:sz="2" w:space="0"/>
            </w:tcBorders>
            <w:vAlign w:val="center"/>
          </w:tcPr>
          <w:p w14:paraId="48516B34">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备  注</w:t>
            </w:r>
          </w:p>
        </w:tc>
      </w:tr>
      <w:tr w14:paraId="12DC50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558" w:type="dxa"/>
            <w:tcBorders>
              <w:top w:val="single" w:color="000000" w:sz="2" w:space="0"/>
              <w:left w:val="single" w:color="000000" w:sz="2" w:space="0"/>
              <w:bottom w:val="single" w:color="000000" w:sz="2" w:space="0"/>
              <w:right w:val="single" w:color="000000" w:sz="2" w:space="0"/>
            </w:tcBorders>
            <w:vAlign w:val="center"/>
          </w:tcPr>
          <w:p w14:paraId="3BA0AE42">
            <w:pPr>
              <w:widowControl/>
              <w:jc w:val="center"/>
              <w:textAlignment w:val="center"/>
              <w:rPr>
                <w:rFonts w:hint="eastAsia" w:ascii="仿宋_GB2312" w:hAnsi="仿宋_GB2312" w:eastAsia="宋体" w:cs="Times New Roman"/>
                <w:color w:val="000000"/>
                <w:szCs w:val="21"/>
              </w:rPr>
            </w:pPr>
            <w:r>
              <w:rPr>
                <w:rFonts w:ascii="仿宋_GB2312" w:hAnsi="仿宋_GB2312" w:eastAsia="Times New Roman" w:cs="Times New Roman"/>
                <w:color w:val="000000"/>
                <w:szCs w:val="21"/>
              </w:rPr>
              <w:t>1</w:t>
            </w:r>
          </w:p>
        </w:tc>
        <w:tc>
          <w:tcPr>
            <w:tcW w:w="28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03914D9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658" w:type="dxa"/>
            <w:tcBorders>
              <w:top w:val="single" w:color="000000" w:sz="2" w:space="0"/>
              <w:left w:val="single" w:color="000000" w:sz="2" w:space="0"/>
              <w:bottom w:val="single" w:color="000000" w:sz="2" w:space="0"/>
              <w:right w:val="single" w:color="000000" w:sz="2" w:space="0"/>
            </w:tcBorders>
            <w:vAlign w:val="center"/>
          </w:tcPr>
          <w:p w14:paraId="5361558E">
            <w:pPr>
              <w:widowControl/>
              <w:jc w:val="center"/>
              <w:textAlignment w:val="center"/>
              <w:rPr>
                <w:rFonts w:ascii="宋体" w:hAnsi="宋体" w:eastAsia="宋体" w:cs="Times New Roman"/>
                <w:color w:val="000000"/>
                <w:kern w:val="0"/>
                <w:sz w:val="22"/>
                <w:highlight w:val="yellow"/>
              </w:rPr>
            </w:pPr>
          </w:p>
        </w:tc>
        <w:tc>
          <w:tcPr>
            <w:tcW w:w="977"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4324FEF">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94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09E2FBA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889" w:type="dxa"/>
            <w:tcBorders>
              <w:top w:val="single" w:color="000000" w:sz="2" w:space="0"/>
              <w:left w:val="single" w:color="000000" w:sz="2" w:space="0"/>
              <w:bottom w:val="single" w:color="000000" w:sz="2" w:space="0"/>
              <w:right w:val="single" w:color="000000" w:sz="2" w:space="0"/>
            </w:tcBorders>
            <w:vAlign w:val="center"/>
          </w:tcPr>
          <w:p w14:paraId="4D39833E">
            <w:pPr>
              <w:widowControl/>
              <w:jc w:val="center"/>
              <w:textAlignment w:val="center"/>
              <w:rPr>
                <w:rFonts w:ascii="仿宋" w:hAnsi="仿宋" w:eastAsia="仿宋" w:cs="Times New Roman"/>
                <w:color w:val="000000"/>
                <w:sz w:val="24"/>
                <w:szCs w:val="24"/>
              </w:rPr>
            </w:pPr>
          </w:p>
        </w:tc>
        <w:tc>
          <w:tcPr>
            <w:tcW w:w="1602" w:type="dxa"/>
            <w:tcBorders>
              <w:top w:val="single" w:color="000000" w:sz="2" w:space="0"/>
              <w:left w:val="single" w:color="000000" w:sz="2" w:space="0"/>
              <w:bottom w:val="single" w:color="000000" w:sz="2" w:space="0"/>
              <w:right w:val="single" w:color="000000" w:sz="4" w:space="0"/>
            </w:tcBorders>
            <w:vAlign w:val="center"/>
          </w:tcPr>
          <w:p w14:paraId="372642F5">
            <w:pPr>
              <w:jc w:val="left"/>
              <w:rPr>
                <w:rFonts w:ascii="Arial" w:hAnsi="Times New Roman" w:eastAsia="宋体" w:cs="Times New Roman"/>
                <w:kern w:val="0"/>
                <w:sz w:val="20"/>
                <w:szCs w:val="20"/>
              </w:rPr>
            </w:pPr>
          </w:p>
        </w:tc>
        <w:tc>
          <w:tcPr>
            <w:tcW w:w="1864" w:type="dxa"/>
            <w:tcBorders>
              <w:top w:val="single" w:color="000000" w:sz="2" w:space="0"/>
              <w:left w:val="nil"/>
              <w:bottom w:val="single" w:color="000000" w:sz="2" w:space="0"/>
              <w:right w:val="single" w:color="000000" w:sz="2" w:space="0"/>
            </w:tcBorders>
            <w:vAlign w:val="center"/>
          </w:tcPr>
          <w:p w14:paraId="3D30CFCA">
            <w:pPr>
              <w:jc w:val="left"/>
              <w:rPr>
                <w:rFonts w:ascii="Arial" w:hAnsi="Times New Roman" w:eastAsia="宋体" w:cs="Times New Roman"/>
                <w:kern w:val="0"/>
                <w:sz w:val="20"/>
                <w:szCs w:val="20"/>
              </w:rPr>
            </w:pPr>
          </w:p>
        </w:tc>
        <w:tc>
          <w:tcPr>
            <w:tcW w:w="1642" w:type="dxa"/>
            <w:tcBorders>
              <w:top w:val="single" w:color="000000" w:sz="2" w:space="0"/>
              <w:left w:val="single" w:color="000000" w:sz="2" w:space="0"/>
              <w:bottom w:val="single" w:color="000000" w:sz="2" w:space="0"/>
              <w:right w:val="single" w:color="000000" w:sz="2" w:space="0"/>
            </w:tcBorders>
            <w:vAlign w:val="center"/>
          </w:tcPr>
          <w:p w14:paraId="724A5733">
            <w:pPr>
              <w:jc w:val="left"/>
              <w:rPr>
                <w:rFonts w:ascii="Arial" w:hAnsi="Times New Roman" w:eastAsia="宋体" w:cs="Times New Roman"/>
                <w:kern w:val="0"/>
                <w:sz w:val="20"/>
                <w:szCs w:val="20"/>
              </w:rPr>
            </w:pPr>
          </w:p>
        </w:tc>
      </w:tr>
      <w:tr w14:paraId="1C78B8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558" w:type="dxa"/>
            <w:tcBorders>
              <w:top w:val="single" w:color="000000" w:sz="2" w:space="0"/>
              <w:left w:val="single" w:color="000000" w:sz="2" w:space="0"/>
              <w:bottom w:val="single" w:color="000000" w:sz="2" w:space="0"/>
              <w:right w:val="single" w:color="000000" w:sz="2" w:space="0"/>
            </w:tcBorders>
            <w:vAlign w:val="center"/>
          </w:tcPr>
          <w:p w14:paraId="57F0D42B">
            <w:pPr>
              <w:widowControl/>
              <w:jc w:val="center"/>
              <w:textAlignment w:val="center"/>
              <w:rPr>
                <w:rFonts w:hint="eastAsia" w:ascii="仿宋_GB2312" w:hAnsi="仿宋_GB2312" w:eastAsia="宋体" w:cs="Times New Roman"/>
                <w:color w:val="000000"/>
                <w:szCs w:val="21"/>
              </w:rPr>
            </w:pPr>
            <w:r>
              <w:rPr>
                <w:rFonts w:ascii="仿宋_GB2312" w:hAnsi="仿宋_GB2312" w:eastAsia="Times New Roman" w:cs="Times New Roman"/>
                <w:color w:val="000000"/>
                <w:szCs w:val="21"/>
              </w:rPr>
              <w:t>2</w:t>
            </w:r>
          </w:p>
        </w:tc>
        <w:tc>
          <w:tcPr>
            <w:tcW w:w="28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61E5E35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658" w:type="dxa"/>
            <w:tcBorders>
              <w:top w:val="single" w:color="000000" w:sz="2" w:space="0"/>
              <w:left w:val="single" w:color="000000" w:sz="2" w:space="0"/>
              <w:bottom w:val="single" w:color="000000" w:sz="2" w:space="0"/>
              <w:right w:val="single" w:color="000000" w:sz="2" w:space="0"/>
            </w:tcBorders>
            <w:vAlign w:val="center"/>
          </w:tcPr>
          <w:p w14:paraId="01B639D4">
            <w:pPr>
              <w:widowControl/>
              <w:jc w:val="center"/>
              <w:textAlignment w:val="center"/>
              <w:rPr>
                <w:rFonts w:ascii="宋体" w:hAnsi="宋体" w:eastAsia="宋体" w:cs="Times New Roman"/>
                <w:color w:val="000000"/>
                <w:kern w:val="0"/>
                <w:sz w:val="22"/>
                <w:highlight w:val="yellow"/>
              </w:rPr>
            </w:pPr>
          </w:p>
        </w:tc>
        <w:tc>
          <w:tcPr>
            <w:tcW w:w="977" w:type="dxa"/>
            <w:tcBorders>
              <w:top w:val="single" w:color="000000" w:sz="2" w:space="0"/>
              <w:left w:val="single" w:color="000000" w:sz="2" w:space="0"/>
              <w:bottom w:val="single" w:color="000000" w:sz="2" w:space="0"/>
              <w:right w:val="single" w:color="000000" w:sz="2" w:space="0"/>
            </w:tcBorders>
            <w:shd w:val="clear" w:color="auto" w:fill="auto"/>
            <w:vAlign w:val="center"/>
          </w:tcPr>
          <w:p w14:paraId="07A1DC7D">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default" w:ascii="仿宋" w:hAnsi="仿宋" w:eastAsia="仿宋" w:cs="仿宋"/>
                <w:color w:val="000000"/>
                <w:kern w:val="2"/>
                <w:sz w:val="21"/>
                <w:szCs w:val="21"/>
                <w:lang w:val="en-US" w:eastAsia="zh-CN" w:bidi="ar"/>
              </w:rPr>
            </w:pPr>
          </w:p>
        </w:tc>
        <w:tc>
          <w:tcPr>
            <w:tcW w:w="94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7BBFB4D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889" w:type="dxa"/>
            <w:tcBorders>
              <w:top w:val="single" w:color="000000" w:sz="2" w:space="0"/>
              <w:left w:val="single" w:color="000000" w:sz="2" w:space="0"/>
              <w:bottom w:val="single" w:color="000000" w:sz="2" w:space="0"/>
              <w:right w:val="single" w:color="000000" w:sz="2" w:space="0"/>
            </w:tcBorders>
            <w:vAlign w:val="center"/>
          </w:tcPr>
          <w:p w14:paraId="35840232">
            <w:pPr>
              <w:widowControl/>
              <w:jc w:val="center"/>
              <w:textAlignment w:val="center"/>
              <w:rPr>
                <w:rFonts w:ascii="宋体" w:hAnsi="宋体" w:eastAsia="宋体" w:cs="Times New Roman"/>
                <w:color w:val="000000"/>
                <w:sz w:val="22"/>
              </w:rPr>
            </w:pPr>
          </w:p>
        </w:tc>
        <w:tc>
          <w:tcPr>
            <w:tcW w:w="1602" w:type="dxa"/>
            <w:tcBorders>
              <w:top w:val="single" w:color="000000" w:sz="2" w:space="0"/>
              <w:left w:val="single" w:color="000000" w:sz="2" w:space="0"/>
              <w:bottom w:val="single" w:color="000000" w:sz="2" w:space="0"/>
              <w:right w:val="single" w:color="000000" w:sz="4" w:space="0"/>
            </w:tcBorders>
            <w:vAlign w:val="center"/>
          </w:tcPr>
          <w:p w14:paraId="3061E467">
            <w:pPr>
              <w:jc w:val="left"/>
              <w:rPr>
                <w:rFonts w:ascii="Arial" w:hAnsi="Times New Roman" w:eastAsia="宋体" w:cs="Times New Roman"/>
                <w:kern w:val="0"/>
                <w:sz w:val="20"/>
                <w:szCs w:val="20"/>
              </w:rPr>
            </w:pPr>
          </w:p>
        </w:tc>
        <w:tc>
          <w:tcPr>
            <w:tcW w:w="1864" w:type="dxa"/>
            <w:tcBorders>
              <w:top w:val="single" w:color="000000" w:sz="2" w:space="0"/>
              <w:left w:val="nil"/>
              <w:bottom w:val="single" w:color="000000" w:sz="2" w:space="0"/>
              <w:right w:val="single" w:color="000000" w:sz="2" w:space="0"/>
            </w:tcBorders>
            <w:vAlign w:val="center"/>
          </w:tcPr>
          <w:p w14:paraId="33AC7FF7">
            <w:pPr>
              <w:jc w:val="left"/>
              <w:rPr>
                <w:rFonts w:ascii="Arial" w:hAnsi="Times New Roman" w:eastAsia="宋体" w:cs="Times New Roman"/>
                <w:kern w:val="0"/>
                <w:sz w:val="20"/>
                <w:szCs w:val="20"/>
              </w:rPr>
            </w:pPr>
          </w:p>
        </w:tc>
        <w:tc>
          <w:tcPr>
            <w:tcW w:w="1642" w:type="dxa"/>
            <w:tcBorders>
              <w:top w:val="single" w:color="000000" w:sz="2" w:space="0"/>
              <w:left w:val="single" w:color="000000" w:sz="2" w:space="0"/>
              <w:bottom w:val="single" w:color="000000" w:sz="2" w:space="0"/>
              <w:right w:val="single" w:color="000000" w:sz="2" w:space="0"/>
            </w:tcBorders>
            <w:vAlign w:val="center"/>
          </w:tcPr>
          <w:p w14:paraId="1C6D60AA">
            <w:pPr>
              <w:jc w:val="left"/>
              <w:rPr>
                <w:rFonts w:ascii="Arial" w:hAnsi="Times New Roman" w:eastAsia="宋体" w:cs="Times New Roman"/>
                <w:kern w:val="0"/>
                <w:sz w:val="20"/>
                <w:szCs w:val="20"/>
              </w:rPr>
            </w:pPr>
          </w:p>
        </w:tc>
      </w:tr>
      <w:tr w14:paraId="315680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vAlign w:val="center"/>
          </w:tcPr>
          <w:p w14:paraId="6E919A23">
            <w:pPr>
              <w:widowControl/>
              <w:jc w:val="center"/>
              <w:textAlignment w:val="center"/>
              <w:rPr>
                <w:rFonts w:hint="eastAsia" w:ascii="仿宋_GB2312" w:hAnsi="仿宋_GB2312" w:eastAsia="宋体" w:cs="Times New Roman"/>
                <w:color w:val="000000"/>
                <w:szCs w:val="21"/>
              </w:rPr>
            </w:pPr>
            <w:r>
              <w:rPr>
                <w:rFonts w:ascii="仿宋_GB2312" w:hAnsi="仿宋_GB2312" w:eastAsia="Times New Roman" w:cs="Times New Roman"/>
                <w:color w:val="000000"/>
                <w:szCs w:val="21"/>
              </w:rPr>
              <w:t>3</w:t>
            </w:r>
          </w:p>
        </w:tc>
        <w:tc>
          <w:tcPr>
            <w:tcW w:w="28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7A922752">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658" w:type="dxa"/>
            <w:tcBorders>
              <w:top w:val="single" w:color="000000" w:sz="2" w:space="0"/>
              <w:left w:val="single" w:color="000000" w:sz="2" w:space="0"/>
              <w:bottom w:val="single" w:color="000000" w:sz="2" w:space="0"/>
              <w:right w:val="single" w:color="000000" w:sz="2" w:space="0"/>
            </w:tcBorders>
            <w:vAlign w:val="center"/>
          </w:tcPr>
          <w:p w14:paraId="012E5808">
            <w:pPr>
              <w:widowControl/>
              <w:jc w:val="center"/>
              <w:textAlignment w:val="center"/>
              <w:rPr>
                <w:rFonts w:ascii="宋体" w:hAnsi="宋体" w:eastAsia="宋体" w:cs="Times New Roman"/>
                <w:color w:val="000000"/>
                <w:kern w:val="0"/>
                <w:sz w:val="22"/>
                <w:highlight w:val="yellow"/>
              </w:rPr>
            </w:pPr>
          </w:p>
        </w:tc>
        <w:tc>
          <w:tcPr>
            <w:tcW w:w="977"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BDDA9F4">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default" w:ascii="仿宋" w:hAnsi="仿宋" w:eastAsia="仿宋" w:cs="仿宋"/>
                <w:color w:val="000000"/>
                <w:kern w:val="2"/>
                <w:sz w:val="21"/>
                <w:szCs w:val="21"/>
                <w:lang w:val="en-US" w:eastAsia="zh-CN" w:bidi="ar"/>
              </w:rPr>
            </w:pPr>
          </w:p>
        </w:tc>
        <w:tc>
          <w:tcPr>
            <w:tcW w:w="94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10525546">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default" w:ascii="仿宋" w:hAnsi="仿宋" w:eastAsia="仿宋" w:cs="仿宋"/>
                <w:color w:val="000000"/>
                <w:kern w:val="2"/>
                <w:sz w:val="21"/>
                <w:szCs w:val="21"/>
                <w:lang w:val="en-US" w:eastAsia="zh-CN" w:bidi="ar"/>
              </w:rPr>
            </w:pPr>
          </w:p>
        </w:tc>
        <w:tc>
          <w:tcPr>
            <w:tcW w:w="1889" w:type="dxa"/>
            <w:tcBorders>
              <w:top w:val="single" w:color="000000" w:sz="2" w:space="0"/>
              <w:left w:val="single" w:color="000000" w:sz="2" w:space="0"/>
              <w:bottom w:val="single" w:color="000000" w:sz="2" w:space="0"/>
              <w:right w:val="single" w:color="000000" w:sz="2" w:space="0"/>
            </w:tcBorders>
            <w:vAlign w:val="center"/>
          </w:tcPr>
          <w:p w14:paraId="69E083C1">
            <w:pPr>
              <w:widowControl/>
              <w:jc w:val="center"/>
              <w:textAlignment w:val="center"/>
              <w:rPr>
                <w:rFonts w:ascii="宋体" w:hAnsi="宋体" w:eastAsia="宋体" w:cs="Times New Roman"/>
                <w:color w:val="000000"/>
                <w:sz w:val="22"/>
              </w:rPr>
            </w:pPr>
          </w:p>
        </w:tc>
        <w:tc>
          <w:tcPr>
            <w:tcW w:w="1602" w:type="dxa"/>
            <w:tcBorders>
              <w:top w:val="single" w:color="000000" w:sz="2" w:space="0"/>
              <w:left w:val="single" w:color="000000" w:sz="2" w:space="0"/>
              <w:bottom w:val="single" w:color="000000" w:sz="2" w:space="0"/>
              <w:right w:val="single" w:color="000000" w:sz="4" w:space="0"/>
            </w:tcBorders>
            <w:vAlign w:val="center"/>
          </w:tcPr>
          <w:p w14:paraId="2B2CFC6B">
            <w:pPr>
              <w:jc w:val="left"/>
              <w:rPr>
                <w:rFonts w:ascii="Arial" w:hAnsi="Times New Roman" w:eastAsia="宋体" w:cs="Times New Roman"/>
                <w:kern w:val="0"/>
                <w:sz w:val="20"/>
                <w:szCs w:val="20"/>
              </w:rPr>
            </w:pPr>
          </w:p>
        </w:tc>
        <w:tc>
          <w:tcPr>
            <w:tcW w:w="1864" w:type="dxa"/>
            <w:tcBorders>
              <w:top w:val="single" w:color="000000" w:sz="2" w:space="0"/>
              <w:left w:val="nil"/>
              <w:bottom w:val="single" w:color="000000" w:sz="2" w:space="0"/>
              <w:right w:val="single" w:color="000000" w:sz="2" w:space="0"/>
            </w:tcBorders>
            <w:vAlign w:val="center"/>
          </w:tcPr>
          <w:p w14:paraId="51C0E6CF">
            <w:pPr>
              <w:jc w:val="left"/>
              <w:rPr>
                <w:rFonts w:ascii="Arial" w:hAnsi="Times New Roman" w:eastAsia="宋体" w:cs="Times New Roman"/>
                <w:kern w:val="0"/>
                <w:sz w:val="20"/>
                <w:szCs w:val="20"/>
              </w:rPr>
            </w:pPr>
          </w:p>
        </w:tc>
        <w:tc>
          <w:tcPr>
            <w:tcW w:w="1642" w:type="dxa"/>
            <w:tcBorders>
              <w:top w:val="single" w:color="000000" w:sz="2" w:space="0"/>
              <w:left w:val="single" w:color="000000" w:sz="2" w:space="0"/>
              <w:bottom w:val="single" w:color="000000" w:sz="2" w:space="0"/>
              <w:right w:val="single" w:color="000000" w:sz="2" w:space="0"/>
            </w:tcBorders>
            <w:vAlign w:val="center"/>
          </w:tcPr>
          <w:p w14:paraId="71E0FB3B">
            <w:pPr>
              <w:jc w:val="left"/>
              <w:rPr>
                <w:rFonts w:ascii="Arial" w:hAnsi="Times New Roman" w:eastAsia="宋体" w:cs="Times New Roman"/>
                <w:kern w:val="0"/>
                <w:sz w:val="20"/>
                <w:szCs w:val="20"/>
              </w:rPr>
            </w:pPr>
          </w:p>
        </w:tc>
      </w:tr>
      <w:tr w14:paraId="73471C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vAlign w:val="center"/>
          </w:tcPr>
          <w:p w14:paraId="704B4AA6">
            <w:pPr>
              <w:widowControl/>
              <w:jc w:val="center"/>
              <w:textAlignment w:val="center"/>
              <w:rPr>
                <w:rFonts w:hint="eastAsia" w:ascii="仿宋_GB2312" w:hAnsi="仿宋_GB2312" w:eastAsia="宋体" w:cs="Times New Roman"/>
                <w:color w:val="000000"/>
                <w:kern w:val="0"/>
                <w:szCs w:val="21"/>
                <w:lang w:val="en-US" w:eastAsia="zh-CN"/>
              </w:rPr>
            </w:pPr>
            <w:r>
              <w:rPr>
                <w:rFonts w:ascii="仿宋_GB2312" w:hAnsi="仿宋_GB2312" w:eastAsia="Times New Roman" w:cs="Times New Roman"/>
                <w:color w:val="000000"/>
                <w:kern w:val="0"/>
                <w:szCs w:val="21"/>
              </w:rPr>
              <w:t>4</w:t>
            </w:r>
          </w:p>
        </w:tc>
        <w:tc>
          <w:tcPr>
            <w:tcW w:w="28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5A74551">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658" w:type="dxa"/>
            <w:tcBorders>
              <w:top w:val="single" w:color="000000" w:sz="2" w:space="0"/>
              <w:left w:val="single" w:color="000000" w:sz="2" w:space="0"/>
              <w:bottom w:val="single" w:color="000000" w:sz="2" w:space="0"/>
              <w:right w:val="single" w:color="000000" w:sz="2" w:space="0"/>
            </w:tcBorders>
            <w:vAlign w:val="center"/>
          </w:tcPr>
          <w:p w14:paraId="70CD0C1D">
            <w:pPr>
              <w:widowControl/>
              <w:jc w:val="center"/>
              <w:textAlignment w:val="center"/>
              <w:rPr>
                <w:rFonts w:ascii="宋体" w:hAnsi="宋体" w:eastAsia="宋体" w:cs="Times New Roman"/>
                <w:color w:val="000000"/>
                <w:kern w:val="0"/>
                <w:sz w:val="22"/>
                <w:highlight w:val="yellow"/>
              </w:rPr>
            </w:pPr>
          </w:p>
        </w:tc>
        <w:tc>
          <w:tcPr>
            <w:tcW w:w="977"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46BCC2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94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7DF52E7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889" w:type="dxa"/>
            <w:tcBorders>
              <w:top w:val="single" w:color="000000" w:sz="2" w:space="0"/>
              <w:left w:val="single" w:color="000000" w:sz="2" w:space="0"/>
              <w:bottom w:val="single" w:color="000000" w:sz="2" w:space="0"/>
              <w:right w:val="single" w:color="000000" w:sz="2" w:space="0"/>
            </w:tcBorders>
            <w:vAlign w:val="center"/>
          </w:tcPr>
          <w:p w14:paraId="702608E2">
            <w:pPr>
              <w:widowControl/>
              <w:jc w:val="center"/>
              <w:textAlignment w:val="center"/>
              <w:rPr>
                <w:rFonts w:ascii="宋体" w:hAnsi="宋体" w:eastAsia="宋体" w:cs="Times New Roman"/>
                <w:color w:val="000000"/>
                <w:sz w:val="24"/>
                <w:szCs w:val="24"/>
              </w:rPr>
            </w:pPr>
          </w:p>
        </w:tc>
        <w:tc>
          <w:tcPr>
            <w:tcW w:w="1602" w:type="dxa"/>
            <w:tcBorders>
              <w:top w:val="single" w:color="000000" w:sz="2" w:space="0"/>
              <w:left w:val="single" w:color="000000" w:sz="2" w:space="0"/>
              <w:bottom w:val="single" w:color="000000" w:sz="2" w:space="0"/>
              <w:right w:val="single" w:color="000000" w:sz="4" w:space="0"/>
            </w:tcBorders>
            <w:vAlign w:val="center"/>
          </w:tcPr>
          <w:p w14:paraId="1AF82BD1">
            <w:pPr>
              <w:widowControl/>
              <w:jc w:val="center"/>
              <w:textAlignment w:val="center"/>
              <w:rPr>
                <w:rFonts w:ascii="宋体" w:hAnsi="宋体" w:eastAsia="宋体" w:cs="Times New Roman"/>
                <w:sz w:val="24"/>
                <w:szCs w:val="24"/>
              </w:rPr>
            </w:pPr>
          </w:p>
        </w:tc>
        <w:tc>
          <w:tcPr>
            <w:tcW w:w="1864" w:type="dxa"/>
            <w:tcBorders>
              <w:top w:val="single" w:color="000000" w:sz="2" w:space="0"/>
              <w:left w:val="nil"/>
              <w:bottom w:val="single" w:color="000000" w:sz="2" w:space="0"/>
              <w:right w:val="single" w:color="000000" w:sz="2" w:space="0"/>
            </w:tcBorders>
            <w:vAlign w:val="center"/>
          </w:tcPr>
          <w:p w14:paraId="4D0B3524">
            <w:pPr>
              <w:widowControl/>
              <w:jc w:val="left"/>
              <w:textAlignment w:val="center"/>
              <w:rPr>
                <w:rFonts w:ascii="宋体" w:hAnsi="宋体" w:eastAsia="宋体" w:cs="Times New Roman"/>
                <w:sz w:val="24"/>
                <w:szCs w:val="24"/>
              </w:rPr>
            </w:pPr>
          </w:p>
        </w:tc>
        <w:tc>
          <w:tcPr>
            <w:tcW w:w="1642" w:type="dxa"/>
            <w:tcBorders>
              <w:top w:val="single" w:color="000000" w:sz="2" w:space="0"/>
              <w:left w:val="single" w:color="000000" w:sz="2" w:space="0"/>
              <w:bottom w:val="single" w:color="000000" w:sz="2" w:space="0"/>
              <w:right w:val="single" w:color="000000" w:sz="2" w:space="0"/>
            </w:tcBorders>
            <w:vAlign w:val="center"/>
          </w:tcPr>
          <w:p w14:paraId="04DC1B61">
            <w:pPr>
              <w:jc w:val="center"/>
              <w:textAlignment w:val="center"/>
              <w:rPr>
                <w:rFonts w:ascii="宋体" w:hAnsi="宋体" w:eastAsia="宋体" w:cs="Times New Roman"/>
                <w:sz w:val="24"/>
                <w:szCs w:val="24"/>
              </w:rPr>
            </w:pPr>
          </w:p>
        </w:tc>
      </w:tr>
      <w:tr w14:paraId="0C30B1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vAlign w:val="center"/>
          </w:tcPr>
          <w:p w14:paraId="1577BB68">
            <w:pPr>
              <w:widowControl/>
              <w:jc w:val="center"/>
              <w:textAlignment w:val="center"/>
              <w:rPr>
                <w:rFonts w:hint="eastAsia" w:ascii="仿宋_GB2312" w:hAnsi="仿宋_GB2312" w:eastAsia="宋体" w:cs="Times New Roman"/>
                <w:color w:val="000000"/>
                <w:kern w:val="0"/>
                <w:szCs w:val="21"/>
                <w:lang w:val="en-US" w:eastAsia="zh-CN"/>
              </w:rPr>
            </w:pPr>
            <w:r>
              <w:rPr>
                <w:rFonts w:ascii="仿宋_GB2312" w:hAnsi="仿宋_GB2312" w:eastAsia="Times New Roman" w:cs="Times New Roman"/>
                <w:color w:val="000000"/>
                <w:kern w:val="0"/>
                <w:szCs w:val="21"/>
              </w:rPr>
              <w:t>5</w:t>
            </w:r>
          </w:p>
        </w:tc>
        <w:tc>
          <w:tcPr>
            <w:tcW w:w="28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42191F66">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658" w:type="dxa"/>
            <w:tcBorders>
              <w:top w:val="single" w:color="000000" w:sz="2" w:space="0"/>
              <w:left w:val="single" w:color="000000" w:sz="2" w:space="0"/>
              <w:bottom w:val="single" w:color="000000" w:sz="2" w:space="0"/>
              <w:right w:val="single" w:color="000000" w:sz="2" w:space="0"/>
            </w:tcBorders>
            <w:vAlign w:val="center"/>
          </w:tcPr>
          <w:p w14:paraId="13282B18">
            <w:pPr>
              <w:widowControl/>
              <w:jc w:val="center"/>
              <w:textAlignment w:val="center"/>
              <w:rPr>
                <w:rFonts w:ascii="宋体" w:hAnsi="宋体" w:eastAsia="宋体" w:cs="Times New Roman"/>
                <w:color w:val="000000"/>
                <w:kern w:val="0"/>
                <w:sz w:val="22"/>
                <w:highlight w:val="yellow"/>
              </w:rPr>
            </w:pPr>
          </w:p>
        </w:tc>
        <w:tc>
          <w:tcPr>
            <w:tcW w:w="977" w:type="dxa"/>
            <w:tcBorders>
              <w:top w:val="single" w:color="000000" w:sz="2" w:space="0"/>
              <w:left w:val="single" w:color="000000" w:sz="2" w:space="0"/>
              <w:bottom w:val="single" w:color="000000" w:sz="2" w:space="0"/>
              <w:right w:val="single" w:color="000000" w:sz="2" w:space="0"/>
            </w:tcBorders>
            <w:shd w:val="clear" w:color="auto" w:fill="auto"/>
            <w:vAlign w:val="center"/>
          </w:tcPr>
          <w:p w14:paraId="45FD806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94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4BF6D35">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889" w:type="dxa"/>
            <w:tcBorders>
              <w:top w:val="single" w:color="000000" w:sz="2" w:space="0"/>
              <w:left w:val="single" w:color="000000" w:sz="2" w:space="0"/>
              <w:bottom w:val="single" w:color="000000" w:sz="2" w:space="0"/>
              <w:right w:val="single" w:color="000000" w:sz="2" w:space="0"/>
            </w:tcBorders>
            <w:vAlign w:val="center"/>
          </w:tcPr>
          <w:p w14:paraId="27CF7C9C">
            <w:pPr>
              <w:widowControl/>
              <w:jc w:val="center"/>
              <w:textAlignment w:val="center"/>
              <w:rPr>
                <w:rFonts w:ascii="宋体" w:hAnsi="宋体" w:eastAsia="宋体" w:cs="Times New Roman"/>
                <w:color w:val="000000"/>
                <w:sz w:val="24"/>
                <w:szCs w:val="24"/>
              </w:rPr>
            </w:pPr>
          </w:p>
        </w:tc>
        <w:tc>
          <w:tcPr>
            <w:tcW w:w="1602" w:type="dxa"/>
            <w:tcBorders>
              <w:top w:val="single" w:color="000000" w:sz="2" w:space="0"/>
              <w:left w:val="single" w:color="000000" w:sz="2" w:space="0"/>
              <w:bottom w:val="single" w:color="000000" w:sz="2" w:space="0"/>
              <w:right w:val="single" w:color="000000" w:sz="4" w:space="0"/>
            </w:tcBorders>
            <w:vAlign w:val="center"/>
          </w:tcPr>
          <w:p w14:paraId="6E5D6994">
            <w:pPr>
              <w:widowControl/>
              <w:jc w:val="center"/>
              <w:textAlignment w:val="center"/>
              <w:rPr>
                <w:rFonts w:ascii="宋体" w:hAnsi="宋体" w:eastAsia="宋体" w:cs="Times New Roman"/>
                <w:sz w:val="24"/>
                <w:szCs w:val="24"/>
              </w:rPr>
            </w:pPr>
          </w:p>
        </w:tc>
        <w:tc>
          <w:tcPr>
            <w:tcW w:w="1864" w:type="dxa"/>
            <w:tcBorders>
              <w:top w:val="single" w:color="000000" w:sz="2" w:space="0"/>
              <w:left w:val="nil"/>
              <w:bottom w:val="single" w:color="000000" w:sz="2" w:space="0"/>
              <w:right w:val="single" w:color="000000" w:sz="2" w:space="0"/>
            </w:tcBorders>
            <w:vAlign w:val="center"/>
          </w:tcPr>
          <w:p w14:paraId="103C94A3">
            <w:pPr>
              <w:widowControl/>
              <w:jc w:val="left"/>
              <w:textAlignment w:val="center"/>
              <w:rPr>
                <w:rFonts w:ascii="宋体" w:hAnsi="宋体" w:eastAsia="宋体" w:cs="Times New Roman"/>
                <w:sz w:val="24"/>
                <w:szCs w:val="24"/>
              </w:rPr>
            </w:pPr>
          </w:p>
        </w:tc>
        <w:tc>
          <w:tcPr>
            <w:tcW w:w="1642" w:type="dxa"/>
            <w:tcBorders>
              <w:top w:val="single" w:color="000000" w:sz="2" w:space="0"/>
              <w:left w:val="single" w:color="000000" w:sz="2" w:space="0"/>
              <w:bottom w:val="single" w:color="000000" w:sz="2" w:space="0"/>
              <w:right w:val="single" w:color="000000" w:sz="2" w:space="0"/>
            </w:tcBorders>
            <w:vAlign w:val="center"/>
          </w:tcPr>
          <w:p w14:paraId="4C28D1CF">
            <w:pPr>
              <w:jc w:val="center"/>
              <w:textAlignment w:val="center"/>
              <w:rPr>
                <w:rFonts w:ascii="宋体" w:hAnsi="宋体" w:eastAsia="宋体" w:cs="Times New Roman"/>
                <w:sz w:val="24"/>
                <w:szCs w:val="24"/>
              </w:rPr>
            </w:pPr>
          </w:p>
        </w:tc>
      </w:tr>
      <w:tr w14:paraId="6BE401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vAlign w:val="center"/>
          </w:tcPr>
          <w:p w14:paraId="03FD6CF8">
            <w:pPr>
              <w:widowControl/>
              <w:jc w:val="center"/>
              <w:textAlignment w:val="center"/>
              <w:rPr>
                <w:rFonts w:hint="default" w:ascii="仿宋_GB2312" w:hAnsi="仿宋_GB2312" w:eastAsia="宋体" w:cs="Times New Roman"/>
                <w:color w:val="000000"/>
                <w:kern w:val="0"/>
                <w:szCs w:val="21"/>
                <w:lang w:val="en-US" w:eastAsia="zh-CN"/>
              </w:rPr>
            </w:pPr>
            <w:r>
              <w:rPr>
                <w:rFonts w:ascii="仿宋_GB2312" w:hAnsi="仿宋_GB2312" w:eastAsia="Times New Roman" w:cs="Times New Roman"/>
                <w:color w:val="000000"/>
                <w:kern w:val="0"/>
                <w:szCs w:val="21"/>
              </w:rPr>
              <w:t>6</w:t>
            </w:r>
          </w:p>
        </w:tc>
        <w:tc>
          <w:tcPr>
            <w:tcW w:w="28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1CA1A82B">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658" w:type="dxa"/>
            <w:tcBorders>
              <w:top w:val="single" w:color="000000" w:sz="2" w:space="0"/>
              <w:left w:val="single" w:color="000000" w:sz="2" w:space="0"/>
              <w:bottom w:val="single" w:color="000000" w:sz="2" w:space="0"/>
              <w:right w:val="single" w:color="000000" w:sz="2" w:space="0"/>
            </w:tcBorders>
            <w:vAlign w:val="center"/>
          </w:tcPr>
          <w:p w14:paraId="4E2B81C7">
            <w:pPr>
              <w:widowControl/>
              <w:jc w:val="center"/>
              <w:textAlignment w:val="center"/>
              <w:rPr>
                <w:rFonts w:ascii="宋体" w:hAnsi="宋体" w:eastAsia="宋体" w:cs="Times New Roman"/>
                <w:color w:val="000000"/>
                <w:kern w:val="0"/>
                <w:sz w:val="22"/>
                <w:highlight w:val="yellow"/>
              </w:rPr>
            </w:pPr>
          </w:p>
        </w:tc>
        <w:tc>
          <w:tcPr>
            <w:tcW w:w="977" w:type="dxa"/>
            <w:tcBorders>
              <w:top w:val="single" w:color="000000" w:sz="2" w:space="0"/>
              <w:left w:val="single" w:color="000000" w:sz="2" w:space="0"/>
              <w:bottom w:val="single" w:color="000000" w:sz="2" w:space="0"/>
              <w:right w:val="single" w:color="000000" w:sz="2" w:space="0"/>
            </w:tcBorders>
            <w:shd w:val="clear" w:color="auto" w:fill="auto"/>
            <w:vAlign w:val="center"/>
          </w:tcPr>
          <w:p w14:paraId="4455FFB7">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94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5F319C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889" w:type="dxa"/>
            <w:tcBorders>
              <w:top w:val="single" w:color="000000" w:sz="2" w:space="0"/>
              <w:left w:val="single" w:color="000000" w:sz="2" w:space="0"/>
              <w:bottom w:val="single" w:color="000000" w:sz="2" w:space="0"/>
              <w:right w:val="single" w:color="000000" w:sz="2" w:space="0"/>
            </w:tcBorders>
            <w:vAlign w:val="center"/>
          </w:tcPr>
          <w:p w14:paraId="33FCC62C">
            <w:pPr>
              <w:widowControl/>
              <w:jc w:val="center"/>
              <w:textAlignment w:val="center"/>
              <w:rPr>
                <w:rFonts w:ascii="宋体" w:hAnsi="宋体" w:eastAsia="宋体" w:cs="Times New Roman"/>
                <w:color w:val="000000"/>
                <w:sz w:val="24"/>
                <w:szCs w:val="24"/>
              </w:rPr>
            </w:pPr>
          </w:p>
        </w:tc>
        <w:tc>
          <w:tcPr>
            <w:tcW w:w="1602" w:type="dxa"/>
            <w:tcBorders>
              <w:top w:val="single" w:color="000000" w:sz="2" w:space="0"/>
              <w:left w:val="single" w:color="000000" w:sz="2" w:space="0"/>
              <w:bottom w:val="single" w:color="000000" w:sz="2" w:space="0"/>
              <w:right w:val="single" w:color="000000" w:sz="4" w:space="0"/>
            </w:tcBorders>
            <w:vAlign w:val="center"/>
          </w:tcPr>
          <w:p w14:paraId="1AC8D711">
            <w:pPr>
              <w:widowControl/>
              <w:jc w:val="center"/>
              <w:textAlignment w:val="center"/>
              <w:rPr>
                <w:rFonts w:ascii="宋体" w:hAnsi="宋体" w:eastAsia="宋体" w:cs="Times New Roman"/>
                <w:sz w:val="24"/>
                <w:szCs w:val="24"/>
              </w:rPr>
            </w:pPr>
          </w:p>
        </w:tc>
        <w:tc>
          <w:tcPr>
            <w:tcW w:w="1864" w:type="dxa"/>
            <w:tcBorders>
              <w:top w:val="single" w:color="000000" w:sz="2" w:space="0"/>
              <w:left w:val="nil"/>
              <w:bottom w:val="single" w:color="000000" w:sz="2" w:space="0"/>
              <w:right w:val="single" w:color="000000" w:sz="2" w:space="0"/>
            </w:tcBorders>
            <w:vAlign w:val="center"/>
          </w:tcPr>
          <w:p w14:paraId="5838C76D">
            <w:pPr>
              <w:widowControl/>
              <w:jc w:val="left"/>
              <w:textAlignment w:val="center"/>
              <w:rPr>
                <w:rFonts w:ascii="宋体" w:hAnsi="宋体" w:eastAsia="宋体" w:cs="Times New Roman"/>
                <w:sz w:val="24"/>
                <w:szCs w:val="24"/>
              </w:rPr>
            </w:pPr>
          </w:p>
        </w:tc>
        <w:tc>
          <w:tcPr>
            <w:tcW w:w="1642" w:type="dxa"/>
            <w:tcBorders>
              <w:top w:val="single" w:color="000000" w:sz="2" w:space="0"/>
              <w:left w:val="single" w:color="000000" w:sz="2" w:space="0"/>
              <w:bottom w:val="single" w:color="000000" w:sz="2" w:space="0"/>
              <w:right w:val="single" w:color="000000" w:sz="2" w:space="0"/>
            </w:tcBorders>
            <w:vAlign w:val="center"/>
          </w:tcPr>
          <w:p w14:paraId="51A7E933">
            <w:pPr>
              <w:jc w:val="center"/>
              <w:textAlignment w:val="center"/>
              <w:rPr>
                <w:rFonts w:ascii="宋体" w:hAnsi="宋体" w:eastAsia="宋体" w:cs="Times New Roman"/>
                <w:sz w:val="24"/>
                <w:szCs w:val="24"/>
              </w:rPr>
            </w:pPr>
          </w:p>
        </w:tc>
      </w:tr>
      <w:tr w14:paraId="3C5135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vAlign w:val="center"/>
          </w:tcPr>
          <w:p w14:paraId="58BBE56A">
            <w:pPr>
              <w:widowControl/>
              <w:jc w:val="center"/>
              <w:textAlignment w:val="center"/>
              <w:rPr>
                <w:rFonts w:hint="eastAsia" w:ascii="仿宋_GB2312" w:hAnsi="仿宋_GB2312" w:eastAsia="宋体" w:cs="Times New Roman"/>
                <w:color w:val="000000"/>
                <w:kern w:val="0"/>
                <w:szCs w:val="21"/>
                <w:lang w:eastAsia="zh-CN"/>
              </w:rPr>
            </w:pPr>
            <w:r>
              <w:rPr>
                <w:rFonts w:ascii="仿宋_GB2312" w:hAnsi="仿宋_GB2312" w:eastAsia="Times New Roman" w:cs="Times New Roman"/>
                <w:color w:val="000000"/>
                <w:kern w:val="0"/>
                <w:szCs w:val="21"/>
              </w:rPr>
              <w:t>7</w:t>
            </w:r>
          </w:p>
        </w:tc>
        <w:tc>
          <w:tcPr>
            <w:tcW w:w="28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01C3608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658" w:type="dxa"/>
            <w:tcBorders>
              <w:top w:val="single" w:color="000000" w:sz="2" w:space="0"/>
              <w:left w:val="single" w:color="000000" w:sz="2" w:space="0"/>
              <w:bottom w:val="single" w:color="000000" w:sz="2" w:space="0"/>
              <w:right w:val="single" w:color="000000" w:sz="2" w:space="0"/>
            </w:tcBorders>
            <w:vAlign w:val="center"/>
          </w:tcPr>
          <w:p w14:paraId="599A7BA8">
            <w:pPr>
              <w:widowControl/>
              <w:jc w:val="center"/>
              <w:textAlignment w:val="center"/>
              <w:rPr>
                <w:rFonts w:ascii="宋体" w:hAnsi="宋体" w:eastAsia="宋体" w:cs="Times New Roman"/>
                <w:color w:val="000000"/>
                <w:kern w:val="0"/>
                <w:sz w:val="22"/>
                <w:highlight w:val="yellow"/>
              </w:rPr>
            </w:pPr>
          </w:p>
        </w:tc>
        <w:tc>
          <w:tcPr>
            <w:tcW w:w="977"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595134D">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default" w:ascii="仿宋" w:hAnsi="仿宋" w:eastAsia="仿宋" w:cs="仿宋"/>
                <w:color w:val="000000"/>
                <w:kern w:val="2"/>
                <w:sz w:val="21"/>
                <w:szCs w:val="21"/>
                <w:lang w:val="en-US" w:eastAsia="zh-CN" w:bidi="ar"/>
              </w:rPr>
            </w:pPr>
          </w:p>
        </w:tc>
        <w:tc>
          <w:tcPr>
            <w:tcW w:w="94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175E2A9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889" w:type="dxa"/>
            <w:tcBorders>
              <w:top w:val="single" w:color="000000" w:sz="2" w:space="0"/>
              <w:left w:val="single" w:color="000000" w:sz="2" w:space="0"/>
              <w:bottom w:val="single" w:color="000000" w:sz="2" w:space="0"/>
              <w:right w:val="single" w:color="000000" w:sz="2" w:space="0"/>
            </w:tcBorders>
            <w:vAlign w:val="center"/>
          </w:tcPr>
          <w:p w14:paraId="11760906">
            <w:pPr>
              <w:widowControl/>
              <w:jc w:val="center"/>
              <w:textAlignment w:val="center"/>
              <w:rPr>
                <w:rFonts w:ascii="宋体" w:hAnsi="宋体" w:eastAsia="宋体" w:cs="Times New Roman"/>
                <w:color w:val="000000"/>
                <w:sz w:val="22"/>
              </w:rPr>
            </w:pPr>
          </w:p>
        </w:tc>
        <w:tc>
          <w:tcPr>
            <w:tcW w:w="1602" w:type="dxa"/>
            <w:tcBorders>
              <w:top w:val="single" w:color="000000" w:sz="2" w:space="0"/>
              <w:left w:val="single" w:color="000000" w:sz="2" w:space="0"/>
              <w:bottom w:val="single" w:color="000000" w:sz="2" w:space="0"/>
              <w:right w:val="single" w:color="000000" w:sz="4" w:space="0"/>
            </w:tcBorders>
            <w:vAlign w:val="center"/>
          </w:tcPr>
          <w:p w14:paraId="69ABE61F">
            <w:pPr>
              <w:jc w:val="left"/>
              <w:rPr>
                <w:rFonts w:ascii="Arial" w:hAnsi="Times New Roman" w:eastAsia="宋体" w:cs="Times New Roman"/>
                <w:kern w:val="0"/>
                <w:sz w:val="20"/>
                <w:szCs w:val="20"/>
              </w:rPr>
            </w:pPr>
          </w:p>
        </w:tc>
        <w:tc>
          <w:tcPr>
            <w:tcW w:w="1864" w:type="dxa"/>
            <w:tcBorders>
              <w:top w:val="single" w:color="000000" w:sz="2" w:space="0"/>
              <w:left w:val="nil"/>
              <w:bottom w:val="single" w:color="000000" w:sz="2" w:space="0"/>
              <w:right w:val="single" w:color="000000" w:sz="2" w:space="0"/>
            </w:tcBorders>
            <w:vAlign w:val="center"/>
          </w:tcPr>
          <w:p w14:paraId="41A6791A">
            <w:pPr>
              <w:jc w:val="left"/>
              <w:rPr>
                <w:rFonts w:ascii="Arial" w:hAnsi="Times New Roman" w:eastAsia="宋体" w:cs="Times New Roman"/>
                <w:kern w:val="0"/>
                <w:sz w:val="20"/>
                <w:szCs w:val="20"/>
              </w:rPr>
            </w:pPr>
          </w:p>
        </w:tc>
        <w:tc>
          <w:tcPr>
            <w:tcW w:w="1642" w:type="dxa"/>
            <w:tcBorders>
              <w:top w:val="single" w:color="000000" w:sz="2" w:space="0"/>
              <w:left w:val="single" w:color="000000" w:sz="2" w:space="0"/>
              <w:bottom w:val="single" w:color="000000" w:sz="2" w:space="0"/>
              <w:right w:val="single" w:color="000000" w:sz="2" w:space="0"/>
            </w:tcBorders>
            <w:vAlign w:val="center"/>
          </w:tcPr>
          <w:p w14:paraId="66E420E4">
            <w:pPr>
              <w:jc w:val="left"/>
              <w:rPr>
                <w:rFonts w:ascii="Arial" w:hAnsi="Times New Roman" w:eastAsia="宋体" w:cs="Times New Roman"/>
                <w:kern w:val="0"/>
                <w:sz w:val="20"/>
                <w:szCs w:val="20"/>
              </w:rPr>
            </w:pPr>
          </w:p>
        </w:tc>
      </w:tr>
      <w:tr w14:paraId="73AA64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vAlign w:val="center"/>
          </w:tcPr>
          <w:p w14:paraId="2A29280B">
            <w:pPr>
              <w:widowControl/>
              <w:jc w:val="center"/>
              <w:textAlignment w:val="center"/>
              <w:rPr>
                <w:rFonts w:hint="eastAsia" w:ascii="仿宋_GB2312" w:hAnsi="仿宋_GB2312" w:eastAsia="宋体" w:cs="Times New Roman"/>
                <w:color w:val="000000"/>
                <w:kern w:val="0"/>
                <w:szCs w:val="21"/>
                <w:lang w:val="en-US" w:eastAsia="zh-CN"/>
              </w:rPr>
            </w:pPr>
            <w:r>
              <w:rPr>
                <w:rFonts w:ascii="仿宋_GB2312" w:hAnsi="仿宋_GB2312" w:eastAsia="Times New Roman" w:cs="Times New Roman"/>
                <w:color w:val="000000"/>
                <w:kern w:val="0"/>
                <w:szCs w:val="21"/>
              </w:rPr>
              <w:t>8</w:t>
            </w:r>
          </w:p>
        </w:tc>
        <w:tc>
          <w:tcPr>
            <w:tcW w:w="28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0405D996">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658" w:type="dxa"/>
            <w:tcBorders>
              <w:top w:val="single" w:color="000000" w:sz="2" w:space="0"/>
              <w:left w:val="single" w:color="000000" w:sz="2" w:space="0"/>
              <w:bottom w:val="single" w:color="000000" w:sz="2" w:space="0"/>
              <w:right w:val="single" w:color="000000" w:sz="2" w:space="0"/>
            </w:tcBorders>
            <w:vAlign w:val="center"/>
          </w:tcPr>
          <w:p w14:paraId="7F347330">
            <w:pPr>
              <w:widowControl/>
              <w:jc w:val="center"/>
              <w:textAlignment w:val="center"/>
              <w:rPr>
                <w:rFonts w:ascii="宋体" w:hAnsi="宋体" w:eastAsia="宋体" w:cs="Times New Roman"/>
                <w:color w:val="000000"/>
                <w:kern w:val="0"/>
                <w:sz w:val="22"/>
                <w:highlight w:val="yellow"/>
              </w:rPr>
            </w:pPr>
          </w:p>
        </w:tc>
        <w:tc>
          <w:tcPr>
            <w:tcW w:w="977" w:type="dxa"/>
            <w:tcBorders>
              <w:top w:val="single" w:color="000000" w:sz="2" w:space="0"/>
              <w:left w:val="single" w:color="000000" w:sz="2" w:space="0"/>
              <w:bottom w:val="single" w:color="000000" w:sz="2" w:space="0"/>
              <w:right w:val="single" w:color="000000" w:sz="2" w:space="0"/>
            </w:tcBorders>
            <w:shd w:val="clear" w:color="auto" w:fill="auto"/>
            <w:vAlign w:val="center"/>
          </w:tcPr>
          <w:p w14:paraId="1508727C">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94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3D0F8AD3">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889" w:type="dxa"/>
            <w:tcBorders>
              <w:top w:val="single" w:color="000000" w:sz="2" w:space="0"/>
              <w:left w:val="single" w:color="000000" w:sz="2" w:space="0"/>
              <w:bottom w:val="single" w:color="000000" w:sz="2" w:space="0"/>
              <w:right w:val="single" w:color="000000" w:sz="2" w:space="0"/>
            </w:tcBorders>
            <w:vAlign w:val="center"/>
          </w:tcPr>
          <w:p w14:paraId="3EDEAEF2">
            <w:pPr>
              <w:widowControl/>
              <w:jc w:val="center"/>
              <w:textAlignment w:val="center"/>
              <w:rPr>
                <w:rFonts w:ascii="宋体" w:hAnsi="宋体" w:eastAsia="宋体" w:cs="Times New Roman"/>
                <w:color w:val="000000"/>
                <w:sz w:val="22"/>
              </w:rPr>
            </w:pPr>
          </w:p>
        </w:tc>
        <w:tc>
          <w:tcPr>
            <w:tcW w:w="1602" w:type="dxa"/>
            <w:tcBorders>
              <w:top w:val="single" w:color="000000" w:sz="2" w:space="0"/>
              <w:left w:val="single" w:color="000000" w:sz="2" w:space="0"/>
              <w:bottom w:val="single" w:color="000000" w:sz="2" w:space="0"/>
              <w:right w:val="single" w:color="000000" w:sz="4" w:space="0"/>
            </w:tcBorders>
            <w:vAlign w:val="center"/>
          </w:tcPr>
          <w:p w14:paraId="5043E02E">
            <w:pPr>
              <w:jc w:val="left"/>
              <w:rPr>
                <w:rFonts w:ascii="Arial" w:hAnsi="Times New Roman" w:eastAsia="宋体" w:cs="Times New Roman"/>
                <w:kern w:val="0"/>
                <w:sz w:val="20"/>
                <w:szCs w:val="20"/>
              </w:rPr>
            </w:pPr>
          </w:p>
        </w:tc>
        <w:tc>
          <w:tcPr>
            <w:tcW w:w="1864" w:type="dxa"/>
            <w:tcBorders>
              <w:top w:val="single" w:color="000000" w:sz="2" w:space="0"/>
              <w:left w:val="nil"/>
              <w:bottom w:val="single" w:color="000000" w:sz="2" w:space="0"/>
              <w:right w:val="single" w:color="000000" w:sz="2" w:space="0"/>
            </w:tcBorders>
            <w:vAlign w:val="center"/>
          </w:tcPr>
          <w:p w14:paraId="7494FDA7">
            <w:pPr>
              <w:jc w:val="left"/>
              <w:rPr>
                <w:rFonts w:ascii="Arial" w:hAnsi="Times New Roman" w:eastAsia="宋体" w:cs="Times New Roman"/>
                <w:kern w:val="0"/>
                <w:sz w:val="20"/>
                <w:szCs w:val="20"/>
              </w:rPr>
            </w:pPr>
          </w:p>
        </w:tc>
        <w:tc>
          <w:tcPr>
            <w:tcW w:w="1642" w:type="dxa"/>
            <w:tcBorders>
              <w:top w:val="single" w:color="000000" w:sz="2" w:space="0"/>
              <w:left w:val="single" w:color="000000" w:sz="2" w:space="0"/>
              <w:bottom w:val="single" w:color="000000" w:sz="2" w:space="0"/>
              <w:right w:val="single" w:color="000000" w:sz="2" w:space="0"/>
            </w:tcBorders>
            <w:vAlign w:val="center"/>
          </w:tcPr>
          <w:p w14:paraId="3FCB650C">
            <w:pPr>
              <w:jc w:val="left"/>
              <w:rPr>
                <w:rFonts w:ascii="Arial" w:hAnsi="Times New Roman" w:eastAsia="宋体" w:cs="Times New Roman"/>
                <w:kern w:val="0"/>
                <w:sz w:val="20"/>
                <w:szCs w:val="20"/>
              </w:rPr>
            </w:pPr>
          </w:p>
        </w:tc>
      </w:tr>
      <w:tr w14:paraId="136348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vAlign w:val="center"/>
          </w:tcPr>
          <w:p w14:paraId="4B1A072D">
            <w:pPr>
              <w:widowControl/>
              <w:jc w:val="center"/>
              <w:textAlignment w:val="center"/>
              <w:rPr>
                <w:rFonts w:hint="eastAsia" w:ascii="仿宋_GB2312" w:hAnsi="仿宋_GB2312" w:eastAsia="宋体" w:cs="Times New Roman"/>
                <w:color w:val="000000"/>
                <w:kern w:val="0"/>
                <w:szCs w:val="21"/>
                <w:lang w:val="en-US" w:eastAsia="zh-CN"/>
              </w:rPr>
            </w:pPr>
            <w:r>
              <w:rPr>
                <w:rFonts w:ascii="仿宋_GB2312" w:hAnsi="仿宋_GB2312" w:eastAsia="Times New Roman" w:cs="Times New Roman"/>
                <w:color w:val="000000"/>
                <w:kern w:val="0"/>
                <w:szCs w:val="21"/>
              </w:rPr>
              <w:t>9</w:t>
            </w:r>
          </w:p>
        </w:tc>
        <w:tc>
          <w:tcPr>
            <w:tcW w:w="28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7F744E6B">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658" w:type="dxa"/>
            <w:tcBorders>
              <w:top w:val="single" w:color="000000" w:sz="2" w:space="0"/>
              <w:left w:val="single" w:color="000000" w:sz="2" w:space="0"/>
              <w:bottom w:val="single" w:color="000000" w:sz="2" w:space="0"/>
              <w:right w:val="single" w:color="000000" w:sz="2" w:space="0"/>
            </w:tcBorders>
            <w:vAlign w:val="center"/>
          </w:tcPr>
          <w:p w14:paraId="77FE019E">
            <w:pPr>
              <w:widowControl/>
              <w:jc w:val="center"/>
              <w:textAlignment w:val="center"/>
              <w:rPr>
                <w:rFonts w:ascii="宋体" w:hAnsi="宋体" w:eastAsia="宋体" w:cs="Times New Roman"/>
                <w:color w:val="000000"/>
                <w:kern w:val="0"/>
                <w:sz w:val="22"/>
                <w:highlight w:val="yellow"/>
              </w:rPr>
            </w:pPr>
          </w:p>
        </w:tc>
        <w:tc>
          <w:tcPr>
            <w:tcW w:w="977"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5AE520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94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580200D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889" w:type="dxa"/>
            <w:tcBorders>
              <w:top w:val="single" w:color="000000" w:sz="2" w:space="0"/>
              <w:left w:val="single" w:color="000000" w:sz="2" w:space="0"/>
              <w:bottom w:val="single" w:color="000000" w:sz="2" w:space="0"/>
              <w:right w:val="single" w:color="000000" w:sz="2" w:space="0"/>
            </w:tcBorders>
            <w:vAlign w:val="center"/>
          </w:tcPr>
          <w:p w14:paraId="270F1361">
            <w:pPr>
              <w:widowControl/>
              <w:jc w:val="center"/>
              <w:textAlignment w:val="center"/>
              <w:rPr>
                <w:rFonts w:ascii="宋体" w:hAnsi="宋体" w:eastAsia="宋体" w:cs="Times New Roman"/>
                <w:color w:val="000000"/>
                <w:sz w:val="22"/>
              </w:rPr>
            </w:pPr>
          </w:p>
        </w:tc>
        <w:tc>
          <w:tcPr>
            <w:tcW w:w="1602" w:type="dxa"/>
            <w:tcBorders>
              <w:top w:val="single" w:color="000000" w:sz="2" w:space="0"/>
              <w:left w:val="single" w:color="000000" w:sz="2" w:space="0"/>
              <w:bottom w:val="single" w:color="000000" w:sz="2" w:space="0"/>
              <w:right w:val="single" w:color="000000" w:sz="4" w:space="0"/>
            </w:tcBorders>
            <w:vAlign w:val="center"/>
          </w:tcPr>
          <w:p w14:paraId="1EBFE83D">
            <w:pPr>
              <w:jc w:val="left"/>
              <w:rPr>
                <w:rFonts w:ascii="Arial" w:hAnsi="Times New Roman" w:eastAsia="宋体" w:cs="Times New Roman"/>
                <w:kern w:val="0"/>
                <w:sz w:val="20"/>
                <w:szCs w:val="20"/>
              </w:rPr>
            </w:pPr>
          </w:p>
        </w:tc>
        <w:tc>
          <w:tcPr>
            <w:tcW w:w="1864" w:type="dxa"/>
            <w:tcBorders>
              <w:top w:val="single" w:color="000000" w:sz="2" w:space="0"/>
              <w:left w:val="nil"/>
              <w:bottom w:val="single" w:color="000000" w:sz="2" w:space="0"/>
              <w:right w:val="single" w:color="000000" w:sz="2" w:space="0"/>
            </w:tcBorders>
            <w:vAlign w:val="center"/>
          </w:tcPr>
          <w:p w14:paraId="06F961BB">
            <w:pPr>
              <w:jc w:val="left"/>
              <w:rPr>
                <w:rFonts w:ascii="Arial" w:hAnsi="Times New Roman" w:eastAsia="宋体" w:cs="Times New Roman"/>
                <w:kern w:val="0"/>
                <w:sz w:val="20"/>
                <w:szCs w:val="20"/>
              </w:rPr>
            </w:pPr>
          </w:p>
        </w:tc>
        <w:tc>
          <w:tcPr>
            <w:tcW w:w="1642" w:type="dxa"/>
            <w:tcBorders>
              <w:top w:val="single" w:color="000000" w:sz="2" w:space="0"/>
              <w:left w:val="single" w:color="000000" w:sz="2" w:space="0"/>
              <w:bottom w:val="single" w:color="000000" w:sz="2" w:space="0"/>
              <w:right w:val="single" w:color="000000" w:sz="2" w:space="0"/>
            </w:tcBorders>
            <w:vAlign w:val="center"/>
          </w:tcPr>
          <w:p w14:paraId="796F37D9">
            <w:pPr>
              <w:jc w:val="left"/>
              <w:rPr>
                <w:rFonts w:ascii="Arial" w:hAnsi="Times New Roman" w:eastAsia="宋体" w:cs="Times New Roman"/>
                <w:kern w:val="0"/>
                <w:sz w:val="20"/>
                <w:szCs w:val="20"/>
              </w:rPr>
            </w:pPr>
          </w:p>
        </w:tc>
      </w:tr>
      <w:tr w14:paraId="45A87E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vAlign w:val="center"/>
          </w:tcPr>
          <w:p w14:paraId="33CFC176">
            <w:pPr>
              <w:widowControl/>
              <w:jc w:val="center"/>
              <w:textAlignment w:val="center"/>
              <w:rPr>
                <w:rFonts w:hint="eastAsia" w:ascii="仿宋_GB2312" w:hAnsi="仿宋_GB2312" w:eastAsia="宋体" w:cs="Times New Roman"/>
                <w:color w:val="000000"/>
                <w:kern w:val="0"/>
                <w:szCs w:val="21"/>
                <w:lang w:val="en-US" w:eastAsia="zh-CN"/>
              </w:rPr>
            </w:pPr>
            <w:r>
              <w:rPr>
                <w:rFonts w:ascii="仿宋_GB2312" w:hAnsi="仿宋_GB2312" w:eastAsia="Times New Roman" w:cs="Times New Roman"/>
                <w:color w:val="000000"/>
                <w:kern w:val="0"/>
                <w:szCs w:val="21"/>
              </w:rPr>
              <w:t>10</w:t>
            </w:r>
          </w:p>
        </w:tc>
        <w:tc>
          <w:tcPr>
            <w:tcW w:w="28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6FE94693">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658" w:type="dxa"/>
            <w:tcBorders>
              <w:top w:val="single" w:color="000000" w:sz="2" w:space="0"/>
              <w:left w:val="single" w:color="000000" w:sz="2" w:space="0"/>
              <w:bottom w:val="single" w:color="000000" w:sz="2" w:space="0"/>
              <w:right w:val="single" w:color="000000" w:sz="2" w:space="0"/>
            </w:tcBorders>
            <w:vAlign w:val="center"/>
          </w:tcPr>
          <w:p w14:paraId="4BF31DC9">
            <w:pPr>
              <w:widowControl/>
              <w:jc w:val="center"/>
              <w:textAlignment w:val="center"/>
              <w:rPr>
                <w:rFonts w:ascii="宋体" w:hAnsi="宋体" w:eastAsia="宋体" w:cs="Times New Roman"/>
                <w:color w:val="000000"/>
                <w:kern w:val="0"/>
                <w:sz w:val="22"/>
                <w:highlight w:val="yellow"/>
              </w:rPr>
            </w:pPr>
          </w:p>
        </w:tc>
        <w:tc>
          <w:tcPr>
            <w:tcW w:w="977" w:type="dxa"/>
            <w:tcBorders>
              <w:top w:val="single" w:color="000000" w:sz="2" w:space="0"/>
              <w:left w:val="single" w:color="000000" w:sz="2" w:space="0"/>
              <w:bottom w:val="single" w:color="000000" w:sz="2" w:space="0"/>
              <w:right w:val="single" w:color="000000" w:sz="2" w:space="0"/>
            </w:tcBorders>
            <w:shd w:val="clear" w:color="auto" w:fill="auto"/>
            <w:vAlign w:val="center"/>
          </w:tcPr>
          <w:p w14:paraId="08B4E3F3">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94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0EA775E">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kern w:val="2"/>
                <w:sz w:val="21"/>
                <w:szCs w:val="21"/>
                <w:lang w:val="en-US" w:eastAsia="zh-CN" w:bidi="ar"/>
              </w:rPr>
            </w:pPr>
          </w:p>
        </w:tc>
        <w:tc>
          <w:tcPr>
            <w:tcW w:w="1889" w:type="dxa"/>
            <w:tcBorders>
              <w:top w:val="single" w:color="000000" w:sz="2" w:space="0"/>
              <w:left w:val="single" w:color="000000" w:sz="2" w:space="0"/>
              <w:bottom w:val="single" w:color="000000" w:sz="2" w:space="0"/>
              <w:right w:val="single" w:color="000000" w:sz="2" w:space="0"/>
            </w:tcBorders>
            <w:vAlign w:val="center"/>
          </w:tcPr>
          <w:p w14:paraId="7569E8BE">
            <w:pPr>
              <w:widowControl/>
              <w:jc w:val="center"/>
              <w:textAlignment w:val="center"/>
              <w:rPr>
                <w:rFonts w:ascii="宋体" w:hAnsi="宋体" w:eastAsia="宋体" w:cs="Times New Roman"/>
                <w:color w:val="000000"/>
                <w:sz w:val="22"/>
              </w:rPr>
            </w:pPr>
          </w:p>
        </w:tc>
        <w:tc>
          <w:tcPr>
            <w:tcW w:w="1602" w:type="dxa"/>
            <w:tcBorders>
              <w:top w:val="single" w:color="000000" w:sz="2" w:space="0"/>
              <w:left w:val="single" w:color="000000" w:sz="2" w:space="0"/>
              <w:bottom w:val="single" w:color="000000" w:sz="2" w:space="0"/>
              <w:right w:val="single" w:color="000000" w:sz="4" w:space="0"/>
            </w:tcBorders>
            <w:vAlign w:val="center"/>
          </w:tcPr>
          <w:p w14:paraId="0CC5DCF5">
            <w:pPr>
              <w:jc w:val="left"/>
              <w:rPr>
                <w:rFonts w:ascii="Arial" w:hAnsi="Times New Roman" w:eastAsia="宋体" w:cs="Times New Roman"/>
                <w:kern w:val="0"/>
                <w:sz w:val="20"/>
                <w:szCs w:val="20"/>
              </w:rPr>
            </w:pPr>
          </w:p>
        </w:tc>
        <w:tc>
          <w:tcPr>
            <w:tcW w:w="1864" w:type="dxa"/>
            <w:tcBorders>
              <w:top w:val="single" w:color="000000" w:sz="2" w:space="0"/>
              <w:left w:val="nil"/>
              <w:bottom w:val="single" w:color="000000" w:sz="2" w:space="0"/>
              <w:right w:val="single" w:color="000000" w:sz="2" w:space="0"/>
            </w:tcBorders>
            <w:vAlign w:val="center"/>
          </w:tcPr>
          <w:p w14:paraId="5ED86FCE">
            <w:pPr>
              <w:jc w:val="left"/>
              <w:rPr>
                <w:rFonts w:ascii="Arial" w:hAnsi="Times New Roman" w:eastAsia="宋体" w:cs="Times New Roman"/>
                <w:kern w:val="0"/>
                <w:sz w:val="20"/>
                <w:szCs w:val="20"/>
              </w:rPr>
            </w:pPr>
          </w:p>
        </w:tc>
        <w:tc>
          <w:tcPr>
            <w:tcW w:w="1642" w:type="dxa"/>
            <w:tcBorders>
              <w:top w:val="single" w:color="000000" w:sz="2" w:space="0"/>
              <w:left w:val="single" w:color="000000" w:sz="2" w:space="0"/>
              <w:bottom w:val="single" w:color="000000" w:sz="2" w:space="0"/>
              <w:right w:val="single" w:color="000000" w:sz="2" w:space="0"/>
            </w:tcBorders>
            <w:vAlign w:val="center"/>
          </w:tcPr>
          <w:p w14:paraId="5838F6C2">
            <w:pPr>
              <w:jc w:val="left"/>
              <w:rPr>
                <w:rFonts w:ascii="Arial" w:hAnsi="Times New Roman" w:eastAsia="宋体" w:cs="Times New Roman"/>
                <w:kern w:val="0"/>
                <w:sz w:val="20"/>
                <w:szCs w:val="20"/>
              </w:rPr>
            </w:pPr>
          </w:p>
        </w:tc>
      </w:tr>
      <w:tr w14:paraId="33EFA8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558" w:type="dxa"/>
            <w:tcBorders>
              <w:top w:val="single" w:color="000000" w:sz="2" w:space="0"/>
              <w:left w:val="single" w:color="000000" w:sz="2" w:space="0"/>
              <w:bottom w:val="single" w:color="000000" w:sz="2" w:space="0"/>
              <w:right w:val="single" w:color="000000" w:sz="4" w:space="0"/>
            </w:tcBorders>
            <w:vAlign w:val="center"/>
          </w:tcPr>
          <w:p w14:paraId="47995ED8">
            <w:pPr>
              <w:jc w:val="left"/>
              <w:rPr>
                <w:rFonts w:ascii="宋体" w:hAnsi="宋体" w:eastAsia="宋体" w:cs="Times New Roman"/>
                <w:spacing w:val="-6"/>
                <w:kern w:val="0"/>
                <w:sz w:val="20"/>
                <w:szCs w:val="20"/>
              </w:rPr>
            </w:pPr>
          </w:p>
        </w:tc>
        <w:tc>
          <w:tcPr>
            <w:tcW w:w="9933" w:type="dxa"/>
            <w:gridSpan w:val="6"/>
            <w:tcBorders>
              <w:top w:val="single" w:color="000000" w:sz="2" w:space="0"/>
              <w:left w:val="single" w:color="000000" w:sz="2" w:space="0"/>
              <w:bottom w:val="single" w:color="000000" w:sz="2" w:space="0"/>
              <w:right w:val="single" w:color="000000" w:sz="4" w:space="0"/>
            </w:tcBorders>
            <w:vAlign w:val="center"/>
          </w:tcPr>
          <w:p w14:paraId="36A8CED4">
            <w:pPr>
              <w:jc w:val="center"/>
              <w:rPr>
                <w:rFonts w:ascii="Arial" w:hAnsi="Times New Roman" w:eastAsia="宋体" w:cs="Times New Roman"/>
                <w:kern w:val="0"/>
                <w:sz w:val="20"/>
                <w:szCs w:val="20"/>
              </w:rPr>
            </w:pPr>
            <w:r>
              <w:rPr>
                <w:rFonts w:hint="eastAsia" w:ascii="宋体" w:hAnsi="宋体" w:eastAsia="Times New Roman" w:cs="Times New Roman"/>
                <w:spacing w:val="-6"/>
                <w:kern w:val="0"/>
                <w:sz w:val="20"/>
                <w:szCs w:val="20"/>
              </w:rPr>
              <w:t>总</w:t>
            </w:r>
            <w:r>
              <w:rPr>
                <w:rFonts w:hint="eastAsia" w:ascii="宋体" w:hAnsi="宋体" w:eastAsia="Times New Roman" w:cs="Times New Roman"/>
                <w:spacing w:val="-4"/>
                <w:kern w:val="0"/>
                <w:sz w:val="20"/>
                <w:szCs w:val="20"/>
              </w:rPr>
              <w:t>价合计列入价格汇总表 9-5</w:t>
            </w:r>
          </w:p>
        </w:tc>
        <w:tc>
          <w:tcPr>
            <w:tcW w:w="1864" w:type="dxa"/>
            <w:tcBorders>
              <w:top w:val="single" w:color="000000" w:sz="2" w:space="0"/>
              <w:left w:val="nil"/>
              <w:bottom w:val="single" w:color="000000" w:sz="2" w:space="0"/>
              <w:right w:val="single" w:color="000000" w:sz="2" w:space="0"/>
            </w:tcBorders>
            <w:vAlign w:val="center"/>
          </w:tcPr>
          <w:p w14:paraId="0D1A36BA">
            <w:pPr>
              <w:jc w:val="left"/>
              <w:rPr>
                <w:rFonts w:ascii="Arial" w:hAnsi="Times New Roman" w:eastAsia="宋体" w:cs="Times New Roman"/>
                <w:kern w:val="0"/>
                <w:sz w:val="20"/>
                <w:szCs w:val="20"/>
              </w:rPr>
            </w:pPr>
          </w:p>
        </w:tc>
        <w:tc>
          <w:tcPr>
            <w:tcW w:w="1642" w:type="dxa"/>
            <w:tcBorders>
              <w:top w:val="single" w:color="000000" w:sz="2" w:space="0"/>
              <w:left w:val="single" w:color="000000" w:sz="2" w:space="0"/>
              <w:bottom w:val="single" w:color="000000" w:sz="2" w:space="0"/>
              <w:right w:val="single" w:color="000000" w:sz="2" w:space="0"/>
            </w:tcBorders>
            <w:vAlign w:val="center"/>
          </w:tcPr>
          <w:p w14:paraId="55A236DE">
            <w:pPr>
              <w:jc w:val="left"/>
              <w:rPr>
                <w:rFonts w:ascii="Arial" w:hAnsi="Times New Roman" w:eastAsia="宋体" w:cs="Times New Roman"/>
                <w:kern w:val="0"/>
                <w:sz w:val="20"/>
                <w:szCs w:val="20"/>
              </w:rPr>
            </w:pPr>
          </w:p>
        </w:tc>
      </w:tr>
    </w:tbl>
    <w:p w14:paraId="0A7BE882">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199BED01">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45491EE3">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2E905CFE">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5645FD51">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16A8B72E">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61F368CF">
      <w:pPr>
        <w:spacing w:line="105" w:lineRule="exact"/>
      </w:pPr>
    </w:p>
    <w:p w14:paraId="7AEFE342">
      <w:pPr>
        <w:sectPr>
          <w:footerReference r:id="rId29" w:type="default"/>
          <w:pgSz w:w="16841" w:h="11907" w:orient="landscape"/>
          <w:pgMar w:top="400" w:right="1387" w:bottom="1168" w:left="1473" w:header="0" w:footer="990" w:gutter="0"/>
          <w:cols w:equalWidth="0" w:num="1">
            <w:col w:w="13980"/>
          </w:cols>
        </w:sectPr>
      </w:pPr>
    </w:p>
    <w:p w14:paraId="3CB60FA2">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1751B562">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0CF92225">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7F22FD60">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006D77EA">
      <w:pPr>
        <w:pStyle w:val="7"/>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2</w:t>
      </w:r>
    </w:p>
    <w:p w14:paraId="57E5E034">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25695AB7">
      <w:pPr>
        <w:spacing w:before="132" w:line="221" w:lineRule="auto"/>
        <w:ind w:left="310"/>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cs="宋体"/>
          <w:szCs w:val="21"/>
          <w:lang w:val="en-US" w:eastAsia="zh-CN"/>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5835EFE5">
      <w:pPr>
        <w:spacing w:line="172" w:lineRule="exact"/>
      </w:pPr>
    </w:p>
    <w:tbl>
      <w:tblPr>
        <w:tblStyle w:val="129"/>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371012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708E12EA">
            <w:pPr>
              <w:spacing w:line="296" w:lineRule="auto"/>
              <w:rPr>
                <w:rFonts w:ascii="Arial"/>
              </w:rPr>
            </w:pPr>
          </w:p>
          <w:p w14:paraId="51B83040">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178A409A">
            <w:pPr>
              <w:spacing w:line="295" w:lineRule="auto"/>
              <w:rPr>
                <w:rFonts w:ascii="Arial"/>
              </w:rPr>
            </w:pPr>
          </w:p>
          <w:p w14:paraId="346CCA3F">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648B2F4E">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4C9B9B06">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596" w:type="dxa"/>
          </w:tcPr>
          <w:p w14:paraId="3ECC0630">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164" w:type="dxa"/>
          </w:tcPr>
          <w:p w14:paraId="29C87DA6">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426FC5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36703DBE">
            <w:pPr>
              <w:rPr>
                <w:rFonts w:ascii="Arial"/>
              </w:rPr>
            </w:pPr>
          </w:p>
        </w:tc>
        <w:tc>
          <w:tcPr>
            <w:tcW w:w="3530" w:type="dxa"/>
            <w:vMerge w:val="continue"/>
            <w:tcBorders>
              <w:top w:val="nil"/>
            </w:tcBorders>
          </w:tcPr>
          <w:p w14:paraId="3521D9E2">
            <w:pPr>
              <w:rPr>
                <w:rFonts w:ascii="Arial"/>
              </w:rPr>
            </w:pPr>
          </w:p>
        </w:tc>
        <w:tc>
          <w:tcPr>
            <w:tcW w:w="2159" w:type="dxa"/>
          </w:tcPr>
          <w:p w14:paraId="1F4E65E8">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14:paraId="6DA8B9DB">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14:paraId="5E1D5596">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0DD92B44">
            <w:pPr>
              <w:spacing w:before="161" w:line="185" w:lineRule="auto"/>
              <w:ind w:left="1031"/>
              <w:rPr>
                <w:rFonts w:ascii="宋体" w:hAnsi="宋体" w:eastAsia="宋体" w:cs="宋体"/>
                <w:szCs w:val="21"/>
              </w:rPr>
            </w:pPr>
            <w:r>
              <w:rPr>
                <w:rFonts w:ascii="宋体" w:hAnsi="宋体" w:eastAsia="宋体" w:cs="宋体"/>
                <w:szCs w:val="21"/>
              </w:rPr>
              <w:t>4</w:t>
            </w:r>
          </w:p>
        </w:tc>
      </w:tr>
      <w:tr w14:paraId="702E8A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6B5A00B5">
            <w:pPr>
              <w:spacing w:before="244" w:line="185" w:lineRule="auto"/>
              <w:ind w:left="353"/>
              <w:rPr>
                <w:rFonts w:hint="eastAsia" w:ascii="宋体" w:hAnsi="宋体" w:eastAsia="宋体" w:cs="宋体"/>
                <w:szCs w:val="21"/>
                <w:lang w:eastAsia="zh-CN"/>
              </w:rPr>
            </w:pPr>
            <w:r>
              <w:rPr>
                <w:rFonts w:hint="eastAsia" w:ascii="宋体" w:hAnsi="宋体" w:eastAsia="宋体" w:cs="宋体"/>
                <w:szCs w:val="21"/>
                <w:lang w:val="en-US" w:eastAsia="zh-CN"/>
              </w:rPr>
              <w:t>1</w:t>
            </w:r>
          </w:p>
        </w:tc>
        <w:tc>
          <w:tcPr>
            <w:tcW w:w="3530" w:type="dxa"/>
          </w:tcPr>
          <w:p w14:paraId="125E09C5">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79C85866">
            <w:pPr>
              <w:rPr>
                <w:rFonts w:ascii="Arial"/>
              </w:rPr>
            </w:pPr>
          </w:p>
        </w:tc>
        <w:tc>
          <w:tcPr>
            <w:tcW w:w="2186" w:type="dxa"/>
          </w:tcPr>
          <w:p w14:paraId="2F75BF16">
            <w:pPr>
              <w:rPr>
                <w:rFonts w:ascii="Arial"/>
              </w:rPr>
            </w:pPr>
          </w:p>
        </w:tc>
        <w:tc>
          <w:tcPr>
            <w:tcW w:w="2596" w:type="dxa"/>
          </w:tcPr>
          <w:p w14:paraId="0AD2F5E2">
            <w:pPr>
              <w:rPr>
                <w:rFonts w:ascii="Arial"/>
              </w:rPr>
            </w:pPr>
          </w:p>
        </w:tc>
        <w:tc>
          <w:tcPr>
            <w:tcW w:w="2164" w:type="dxa"/>
          </w:tcPr>
          <w:p w14:paraId="59A24079">
            <w:pPr>
              <w:rPr>
                <w:rFonts w:ascii="Arial"/>
              </w:rPr>
            </w:pPr>
          </w:p>
        </w:tc>
      </w:tr>
      <w:tr w14:paraId="52DCDC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AA7F12D">
            <w:pPr>
              <w:spacing w:before="245" w:line="183"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2</w:t>
            </w:r>
          </w:p>
        </w:tc>
        <w:tc>
          <w:tcPr>
            <w:tcW w:w="3530" w:type="dxa"/>
          </w:tcPr>
          <w:p w14:paraId="791C109B">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252D670B">
            <w:pPr>
              <w:rPr>
                <w:rFonts w:ascii="Arial"/>
              </w:rPr>
            </w:pPr>
          </w:p>
        </w:tc>
        <w:tc>
          <w:tcPr>
            <w:tcW w:w="2186" w:type="dxa"/>
          </w:tcPr>
          <w:p w14:paraId="556415E9">
            <w:pPr>
              <w:rPr>
                <w:rFonts w:ascii="Arial"/>
              </w:rPr>
            </w:pPr>
          </w:p>
        </w:tc>
        <w:tc>
          <w:tcPr>
            <w:tcW w:w="2596" w:type="dxa"/>
          </w:tcPr>
          <w:p w14:paraId="7899A89E">
            <w:pPr>
              <w:rPr>
                <w:rFonts w:ascii="Arial"/>
              </w:rPr>
            </w:pPr>
          </w:p>
        </w:tc>
        <w:tc>
          <w:tcPr>
            <w:tcW w:w="2164" w:type="dxa"/>
            <w:vMerge w:val="restart"/>
            <w:tcBorders>
              <w:bottom w:val="nil"/>
            </w:tcBorders>
          </w:tcPr>
          <w:p w14:paraId="73AFB5DA">
            <w:pPr>
              <w:spacing w:line="295" w:lineRule="auto"/>
              <w:rPr>
                <w:rFonts w:ascii="Arial"/>
              </w:rPr>
            </w:pPr>
          </w:p>
          <w:p w14:paraId="2E97C7CD">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703559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362B9354">
            <w:pPr>
              <w:spacing w:before="248" w:line="185" w:lineRule="auto"/>
              <w:ind w:left="350"/>
              <w:rPr>
                <w:rFonts w:hint="eastAsia" w:ascii="宋体" w:hAnsi="宋体" w:eastAsia="宋体" w:cs="宋体"/>
                <w:szCs w:val="21"/>
                <w:lang w:eastAsia="zh-CN"/>
              </w:rPr>
            </w:pPr>
            <w:r>
              <w:rPr>
                <w:rFonts w:hint="eastAsia" w:ascii="宋体" w:hAnsi="宋体" w:eastAsia="宋体" w:cs="宋体"/>
                <w:szCs w:val="21"/>
                <w:lang w:val="en-US" w:eastAsia="zh-CN"/>
              </w:rPr>
              <w:t>3</w:t>
            </w:r>
          </w:p>
        </w:tc>
        <w:tc>
          <w:tcPr>
            <w:tcW w:w="3530" w:type="dxa"/>
          </w:tcPr>
          <w:p w14:paraId="6B6B37FD">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14:paraId="5A46A9E2">
            <w:pPr>
              <w:rPr>
                <w:rFonts w:ascii="Arial"/>
              </w:rPr>
            </w:pPr>
          </w:p>
        </w:tc>
        <w:tc>
          <w:tcPr>
            <w:tcW w:w="2186" w:type="dxa"/>
          </w:tcPr>
          <w:p w14:paraId="1DFB4BE3">
            <w:pPr>
              <w:rPr>
                <w:rFonts w:ascii="Arial"/>
              </w:rPr>
            </w:pPr>
          </w:p>
        </w:tc>
        <w:tc>
          <w:tcPr>
            <w:tcW w:w="2596" w:type="dxa"/>
          </w:tcPr>
          <w:p w14:paraId="134467E6">
            <w:pPr>
              <w:rPr>
                <w:rFonts w:ascii="Arial"/>
              </w:rPr>
            </w:pPr>
          </w:p>
        </w:tc>
        <w:tc>
          <w:tcPr>
            <w:tcW w:w="2164" w:type="dxa"/>
            <w:vMerge w:val="continue"/>
            <w:tcBorders>
              <w:top w:val="nil"/>
            </w:tcBorders>
          </w:tcPr>
          <w:p w14:paraId="53D16DF8">
            <w:pPr>
              <w:rPr>
                <w:rFonts w:ascii="Arial"/>
              </w:rPr>
            </w:pPr>
          </w:p>
        </w:tc>
      </w:tr>
      <w:tr w14:paraId="75EF6B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6CB8531E">
            <w:pPr>
              <w:spacing w:before="247" w:line="182"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530" w:type="dxa"/>
          </w:tcPr>
          <w:p w14:paraId="070B8CEC">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02BD7920">
            <w:pPr>
              <w:rPr>
                <w:rFonts w:ascii="Arial"/>
              </w:rPr>
            </w:pPr>
          </w:p>
        </w:tc>
        <w:tc>
          <w:tcPr>
            <w:tcW w:w="2186" w:type="dxa"/>
          </w:tcPr>
          <w:p w14:paraId="0A8FE4B4">
            <w:pPr>
              <w:rPr>
                <w:rFonts w:ascii="Arial"/>
              </w:rPr>
            </w:pPr>
          </w:p>
        </w:tc>
        <w:tc>
          <w:tcPr>
            <w:tcW w:w="2596" w:type="dxa"/>
          </w:tcPr>
          <w:p w14:paraId="7D04DF3E">
            <w:pPr>
              <w:rPr>
                <w:rFonts w:ascii="Arial"/>
              </w:rPr>
            </w:pPr>
          </w:p>
        </w:tc>
        <w:tc>
          <w:tcPr>
            <w:tcW w:w="2164" w:type="dxa"/>
          </w:tcPr>
          <w:p w14:paraId="65A2F982">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24BA60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EFB34AD">
            <w:pPr>
              <w:spacing w:before="247" w:line="183" w:lineRule="auto"/>
              <w:ind w:left="352"/>
              <w:rPr>
                <w:rFonts w:hint="eastAsia" w:ascii="宋体" w:hAnsi="宋体" w:eastAsia="宋体" w:cs="宋体"/>
                <w:szCs w:val="21"/>
                <w:lang w:eastAsia="zh-CN"/>
              </w:rPr>
            </w:pPr>
            <w:r>
              <w:rPr>
                <w:rFonts w:hint="eastAsia" w:ascii="宋体" w:hAnsi="宋体" w:eastAsia="宋体" w:cs="宋体"/>
                <w:szCs w:val="21"/>
                <w:lang w:val="en-US" w:eastAsia="zh-CN"/>
              </w:rPr>
              <w:t>5</w:t>
            </w:r>
          </w:p>
        </w:tc>
        <w:tc>
          <w:tcPr>
            <w:tcW w:w="3530" w:type="dxa"/>
          </w:tcPr>
          <w:p w14:paraId="265B4C97">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Pr>
          <w:p w14:paraId="109529F3">
            <w:pPr>
              <w:rPr>
                <w:rFonts w:ascii="Arial"/>
              </w:rPr>
            </w:pPr>
          </w:p>
        </w:tc>
        <w:tc>
          <w:tcPr>
            <w:tcW w:w="2186" w:type="dxa"/>
          </w:tcPr>
          <w:p w14:paraId="0F760E05">
            <w:pPr>
              <w:rPr>
                <w:rFonts w:ascii="Arial"/>
              </w:rPr>
            </w:pPr>
          </w:p>
        </w:tc>
        <w:tc>
          <w:tcPr>
            <w:tcW w:w="2596" w:type="dxa"/>
          </w:tcPr>
          <w:p w14:paraId="2D73EBA6">
            <w:pPr>
              <w:rPr>
                <w:rFonts w:ascii="Arial"/>
              </w:rPr>
            </w:pPr>
          </w:p>
        </w:tc>
        <w:tc>
          <w:tcPr>
            <w:tcW w:w="2164" w:type="dxa"/>
          </w:tcPr>
          <w:p w14:paraId="748825BF">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6286A3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2DCF6F35">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268D4FD2">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14:paraId="561781F9">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4B479FBB">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31895006">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30950700">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1C38934">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5515621">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3992F249">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36DDE4CE">
      <w:pPr>
        <w:rPr>
          <w:sz w:val="24"/>
          <w:szCs w:val="24"/>
        </w:rPr>
        <w:sectPr>
          <w:footerReference r:id="rId30" w:type="default"/>
          <w:pgSz w:w="16841" w:h="11907"/>
          <w:pgMar w:top="400" w:right="1699" w:bottom="1184" w:left="1481" w:header="0" w:footer="1022" w:gutter="0"/>
          <w:cols w:space="720" w:num="1"/>
        </w:sectPr>
      </w:pPr>
    </w:p>
    <w:p w14:paraId="5E781D75">
      <w:pPr>
        <w:pStyle w:val="7"/>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3</w:t>
      </w:r>
    </w:p>
    <w:p w14:paraId="61B38034">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54D717F9">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269FEBCB"/>
    <w:p w14:paraId="105D238D">
      <w:pPr>
        <w:spacing w:line="20" w:lineRule="exact"/>
      </w:pPr>
    </w:p>
    <w:tbl>
      <w:tblPr>
        <w:tblStyle w:val="129"/>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5CEA11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1CCBC906">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2336BD49">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21C1C8CC">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1138" w:type="dxa"/>
            <w:vAlign w:val="center"/>
          </w:tcPr>
          <w:p w14:paraId="3C15E518">
            <w:pPr>
              <w:spacing w:before="0" w:line="221" w:lineRule="auto"/>
              <w:jc w:val="center"/>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1138" w:type="dxa"/>
            <w:vAlign w:val="center"/>
          </w:tcPr>
          <w:p w14:paraId="4DC3340C">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数量</w:t>
            </w:r>
          </w:p>
        </w:tc>
        <w:tc>
          <w:tcPr>
            <w:tcW w:w="2449" w:type="dxa"/>
            <w:vAlign w:val="center"/>
          </w:tcPr>
          <w:p w14:paraId="509AE1FB">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3328" w:type="dxa"/>
            <w:vAlign w:val="center"/>
          </w:tcPr>
          <w:p w14:paraId="2906B885">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6A5E50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16642ABF">
            <w:pPr>
              <w:spacing w:before="300" w:line="186" w:lineRule="auto"/>
              <w:jc w:val="center"/>
              <w:rPr>
                <w:rFonts w:ascii="宋体" w:hAnsi="宋体" w:eastAsia="宋体" w:cs="宋体"/>
                <w:szCs w:val="21"/>
              </w:rPr>
            </w:pPr>
            <w:r>
              <w:rPr>
                <w:rFonts w:ascii="宋体" w:hAnsi="宋体" w:eastAsia="宋体" w:cs="宋体"/>
                <w:szCs w:val="21"/>
              </w:rPr>
              <w:t>1</w:t>
            </w:r>
          </w:p>
        </w:tc>
        <w:tc>
          <w:tcPr>
            <w:tcW w:w="3625" w:type="dxa"/>
            <w:vAlign w:val="center"/>
          </w:tcPr>
          <w:p w14:paraId="37F37F88">
            <w:pPr>
              <w:spacing w:before="266" w:line="221" w:lineRule="auto"/>
              <w:jc w:val="center"/>
              <w:rPr>
                <w:rFonts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lang w:val="en-US" w:eastAsia="zh-CN"/>
              </w:rPr>
              <w:t>安装调试</w:t>
            </w:r>
          </w:p>
        </w:tc>
        <w:tc>
          <w:tcPr>
            <w:tcW w:w="1126" w:type="dxa"/>
            <w:vAlign w:val="top"/>
          </w:tcPr>
          <w:p w14:paraId="72975209">
            <w:pPr>
              <w:spacing w:before="266" w:line="221" w:lineRule="auto"/>
              <w:jc w:val="center"/>
              <w:rPr>
                <w:rFonts w:hint="eastAsia" w:ascii="宋体" w:hAnsi="宋体" w:eastAsia="宋体" w:cs="宋体"/>
                <w:spacing w:val="-2"/>
                <w:szCs w:val="21"/>
                <w:lang w:val="en-US" w:eastAsia="zh-CN"/>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14:paraId="10D86277">
            <w:pPr>
              <w:spacing w:before="266" w:line="221" w:lineRule="auto"/>
              <w:jc w:val="center"/>
              <w:rPr>
                <w:rFonts w:ascii="宋体" w:hAnsi="宋体" w:eastAsia="宋体" w:cs="宋体"/>
                <w:spacing w:val="-2"/>
                <w:szCs w:val="21"/>
              </w:rPr>
            </w:pPr>
          </w:p>
        </w:tc>
        <w:tc>
          <w:tcPr>
            <w:tcW w:w="1138" w:type="dxa"/>
          </w:tcPr>
          <w:p w14:paraId="00FFB087">
            <w:pPr>
              <w:spacing w:before="266" w:line="221" w:lineRule="auto"/>
              <w:jc w:val="center"/>
              <w:rPr>
                <w:rFonts w:ascii="宋体" w:hAnsi="宋体" w:eastAsia="宋体" w:cs="宋体"/>
                <w:spacing w:val="-2"/>
                <w:szCs w:val="21"/>
              </w:rPr>
            </w:pPr>
          </w:p>
        </w:tc>
        <w:tc>
          <w:tcPr>
            <w:tcW w:w="2449" w:type="dxa"/>
          </w:tcPr>
          <w:p w14:paraId="7F302A37">
            <w:pPr>
              <w:rPr>
                <w:rFonts w:ascii="Arial"/>
              </w:rPr>
            </w:pPr>
          </w:p>
        </w:tc>
        <w:tc>
          <w:tcPr>
            <w:tcW w:w="3328" w:type="dxa"/>
          </w:tcPr>
          <w:p w14:paraId="1516DDB9">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39FBE3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7F7C9DD6">
            <w:pPr>
              <w:spacing w:before="302" w:line="185" w:lineRule="auto"/>
              <w:jc w:val="center"/>
              <w:rPr>
                <w:rFonts w:ascii="宋体" w:hAnsi="宋体" w:eastAsia="宋体" w:cs="宋体"/>
                <w:szCs w:val="21"/>
              </w:rPr>
            </w:pPr>
            <w:r>
              <w:rPr>
                <w:rFonts w:ascii="宋体" w:hAnsi="宋体" w:eastAsia="宋体" w:cs="宋体"/>
                <w:szCs w:val="21"/>
              </w:rPr>
              <w:t>2</w:t>
            </w:r>
          </w:p>
        </w:tc>
        <w:tc>
          <w:tcPr>
            <w:tcW w:w="3625" w:type="dxa"/>
            <w:vAlign w:val="center"/>
          </w:tcPr>
          <w:p w14:paraId="3D19B68E">
            <w:pPr>
              <w:spacing w:before="266" w:line="221" w:lineRule="auto"/>
              <w:jc w:val="center"/>
              <w:rPr>
                <w:rFonts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top"/>
          </w:tcPr>
          <w:p w14:paraId="5F74C0E9">
            <w:pPr>
              <w:spacing w:before="266" w:line="221" w:lineRule="auto"/>
              <w:jc w:val="center"/>
              <w:rPr>
                <w:rFonts w:ascii="宋体" w:hAnsi="宋体" w:eastAsia="宋体" w:cs="宋体"/>
                <w:spacing w:val="-2"/>
                <w:szCs w:val="21"/>
              </w:rPr>
            </w:pPr>
          </w:p>
        </w:tc>
        <w:tc>
          <w:tcPr>
            <w:tcW w:w="1138" w:type="dxa"/>
          </w:tcPr>
          <w:p w14:paraId="7CD90CB7">
            <w:pPr>
              <w:spacing w:before="266" w:line="221" w:lineRule="auto"/>
              <w:jc w:val="center"/>
              <w:rPr>
                <w:rFonts w:ascii="宋体" w:hAnsi="宋体" w:eastAsia="宋体" w:cs="宋体"/>
                <w:spacing w:val="-2"/>
                <w:szCs w:val="21"/>
              </w:rPr>
            </w:pPr>
          </w:p>
        </w:tc>
        <w:tc>
          <w:tcPr>
            <w:tcW w:w="1138" w:type="dxa"/>
          </w:tcPr>
          <w:p w14:paraId="3EEDD728">
            <w:pPr>
              <w:spacing w:before="266" w:line="221" w:lineRule="auto"/>
              <w:jc w:val="center"/>
              <w:rPr>
                <w:rFonts w:ascii="宋体" w:hAnsi="宋体" w:eastAsia="宋体" w:cs="宋体"/>
                <w:spacing w:val="-2"/>
                <w:szCs w:val="21"/>
              </w:rPr>
            </w:pPr>
          </w:p>
        </w:tc>
        <w:tc>
          <w:tcPr>
            <w:tcW w:w="2449" w:type="dxa"/>
          </w:tcPr>
          <w:p w14:paraId="4E4E0C24">
            <w:pPr>
              <w:rPr>
                <w:rFonts w:ascii="Arial"/>
              </w:rPr>
            </w:pPr>
          </w:p>
        </w:tc>
        <w:tc>
          <w:tcPr>
            <w:tcW w:w="3328" w:type="dxa"/>
          </w:tcPr>
          <w:p w14:paraId="54326A8A">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05AD0E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704BB9DB">
            <w:pPr>
              <w:spacing w:before="303" w:line="183" w:lineRule="auto"/>
              <w:jc w:val="center"/>
              <w:rPr>
                <w:rFonts w:ascii="宋体" w:hAnsi="宋体" w:eastAsia="宋体" w:cs="宋体"/>
                <w:szCs w:val="21"/>
              </w:rPr>
            </w:pPr>
            <w:r>
              <w:rPr>
                <w:rFonts w:ascii="宋体" w:hAnsi="宋体" w:eastAsia="宋体" w:cs="宋体"/>
                <w:szCs w:val="21"/>
              </w:rPr>
              <w:t>3</w:t>
            </w:r>
          </w:p>
        </w:tc>
        <w:tc>
          <w:tcPr>
            <w:tcW w:w="3625" w:type="dxa"/>
            <w:vAlign w:val="center"/>
          </w:tcPr>
          <w:p w14:paraId="76170887">
            <w:pPr>
              <w:spacing w:before="266" w:line="221" w:lineRule="auto"/>
              <w:jc w:val="center"/>
              <w:rPr>
                <w:rFonts w:ascii="宋体" w:hAnsi="宋体" w:eastAsia="宋体" w:cs="宋体"/>
                <w:szCs w:val="21"/>
              </w:rPr>
            </w:pPr>
            <w:r>
              <w:rPr>
                <w:rFonts w:hint="eastAsia" w:ascii="宋体" w:hAnsi="宋体" w:eastAsia="宋体" w:cs="宋体"/>
                <w:spacing w:val="-2"/>
                <w:szCs w:val="21"/>
                <w:lang w:val="en-US" w:eastAsia="zh-CN"/>
              </w:rPr>
              <w:t>技术</w:t>
            </w:r>
            <w:r>
              <w:rPr>
                <w:rFonts w:ascii="宋体" w:hAnsi="宋体" w:eastAsia="宋体" w:cs="宋体"/>
                <w:spacing w:val="-2"/>
                <w:szCs w:val="21"/>
              </w:rPr>
              <w:t>培</w:t>
            </w:r>
            <w:r>
              <w:rPr>
                <w:rFonts w:ascii="宋体" w:hAnsi="宋体" w:eastAsia="宋体" w:cs="宋体"/>
                <w:spacing w:val="-1"/>
                <w:szCs w:val="21"/>
              </w:rPr>
              <w:t>训费</w:t>
            </w:r>
          </w:p>
        </w:tc>
        <w:tc>
          <w:tcPr>
            <w:tcW w:w="1126" w:type="dxa"/>
            <w:vAlign w:val="top"/>
          </w:tcPr>
          <w:p w14:paraId="07BCABE3">
            <w:pPr>
              <w:spacing w:before="266" w:line="221" w:lineRule="auto"/>
              <w:jc w:val="center"/>
              <w:rPr>
                <w:rFonts w:ascii="宋体" w:hAnsi="宋体" w:eastAsia="宋体" w:cs="宋体"/>
                <w:spacing w:val="-2"/>
                <w:szCs w:val="21"/>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14:paraId="3B83E4D2">
            <w:pPr>
              <w:spacing w:before="266" w:line="221" w:lineRule="auto"/>
              <w:jc w:val="center"/>
              <w:rPr>
                <w:rFonts w:ascii="宋体" w:hAnsi="宋体" w:eastAsia="宋体" w:cs="宋体"/>
                <w:spacing w:val="-2"/>
                <w:szCs w:val="21"/>
              </w:rPr>
            </w:pPr>
          </w:p>
        </w:tc>
        <w:tc>
          <w:tcPr>
            <w:tcW w:w="1138" w:type="dxa"/>
          </w:tcPr>
          <w:p w14:paraId="5C4B854B">
            <w:pPr>
              <w:spacing w:before="266" w:line="221" w:lineRule="auto"/>
              <w:jc w:val="center"/>
              <w:rPr>
                <w:rFonts w:ascii="宋体" w:hAnsi="宋体" w:eastAsia="宋体" w:cs="宋体"/>
                <w:spacing w:val="-2"/>
                <w:szCs w:val="21"/>
              </w:rPr>
            </w:pPr>
          </w:p>
        </w:tc>
        <w:tc>
          <w:tcPr>
            <w:tcW w:w="2449" w:type="dxa"/>
          </w:tcPr>
          <w:p w14:paraId="551F26B5">
            <w:pPr>
              <w:rPr>
                <w:rFonts w:ascii="Arial"/>
              </w:rPr>
            </w:pPr>
          </w:p>
        </w:tc>
        <w:tc>
          <w:tcPr>
            <w:tcW w:w="3328" w:type="dxa"/>
          </w:tcPr>
          <w:p w14:paraId="7F47B175">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2CD21C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6D2D79BE">
            <w:pPr>
              <w:spacing w:before="306" w:line="182" w:lineRule="auto"/>
              <w:jc w:val="center"/>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625" w:type="dxa"/>
            <w:vAlign w:val="center"/>
          </w:tcPr>
          <w:p w14:paraId="5AFF2774">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3BB2397E">
            <w:pPr>
              <w:spacing w:before="266" w:line="221" w:lineRule="auto"/>
              <w:jc w:val="center"/>
              <w:rPr>
                <w:rFonts w:ascii="宋体" w:hAnsi="宋体" w:eastAsia="宋体" w:cs="宋体"/>
                <w:spacing w:val="-2"/>
                <w:szCs w:val="21"/>
              </w:rPr>
            </w:pPr>
          </w:p>
        </w:tc>
        <w:tc>
          <w:tcPr>
            <w:tcW w:w="1138" w:type="dxa"/>
          </w:tcPr>
          <w:p w14:paraId="5012BAE1">
            <w:pPr>
              <w:spacing w:before="266" w:line="221" w:lineRule="auto"/>
              <w:jc w:val="center"/>
              <w:rPr>
                <w:rFonts w:ascii="宋体" w:hAnsi="宋体" w:eastAsia="宋体" w:cs="宋体"/>
                <w:spacing w:val="-2"/>
                <w:szCs w:val="21"/>
              </w:rPr>
            </w:pPr>
          </w:p>
        </w:tc>
        <w:tc>
          <w:tcPr>
            <w:tcW w:w="1138" w:type="dxa"/>
          </w:tcPr>
          <w:p w14:paraId="597563A3">
            <w:pPr>
              <w:spacing w:before="266" w:line="221" w:lineRule="auto"/>
              <w:jc w:val="center"/>
              <w:rPr>
                <w:rFonts w:ascii="宋体" w:hAnsi="宋体" w:eastAsia="宋体" w:cs="宋体"/>
                <w:spacing w:val="-2"/>
                <w:szCs w:val="21"/>
              </w:rPr>
            </w:pPr>
          </w:p>
        </w:tc>
        <w:tc>
          <w:tcPr>
            <w:tcW w:w="2449" w:type="dxa"/>
          </w:tcPr>
          <w:p w14:paraId="7A7C3FB9">
            <w:pPr>
              <w:rPr>
                <w:rFonts w:ascii="Arial"/>
              </w:rPr>
            </w:pPr>
          </w:p>
        </w:tc>
        <w:tc>
          <w:tcPr>
            <w:tcW w:w="3328" w:type="dxa"/>
          </w:tcPr>
          <w:p w14:paraId="5DD4EC2C">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2F5807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034C027E">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0BBAFAE3">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7EB57D0A">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742F5B13">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314C7788">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270C14EF">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3E75F82A">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7CB96D77">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101EBC23">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1F1A8413">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7C289E3D">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90FD292">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1CEF9A7F"/>
    <w:p w14:paraId="745BA7F7">
      <w:pPr>
        <w:pStyle w:val="16"/>
      </w:pPr>
    </w:p>
    <w:p w14:paraId="1443F80E">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30F00A9D">
      <w:pPr>
        <w:spacing w:before="35" w:line="239" w:lineRule="auto"/>
        <w:ind w:left="724"/>
        <w:rPr>
          <w:rFonts w:ascii="宋体" w:hAnsi="宋体" w:eastAsia="宋体" w:cs="宋体"/>
          <w:spacing w:val="-1"/>
          <w:sz w:val="24"/>
          <w:szCs w:val="24"/>
        </w:rPr>
        <w:sectPr>
          <w:footerReference r:id="rId31" w:type="default"/>
          <w:pgSz w:w="16841" w:h="11907"/>
          <w:pgMar w:top="400" w:right="1699" w:bottom="1184" w:left="1481" w:header="0" w:footer="1022" w:gutter="0"/>
          <w:cols w:space="720" w:num="1"/>
        </w:sectPr>
      </w:pPr>
    </w:p>
    <w:p w14:paraId="4BC28829">
      <w:pPr>
        <w:pStyle w:val="7"/>
        <w:jc w:val="left"/>
        <w:rPr>
          <w:rFonts w:hint="eastAsia" w:ascii="宋体" w:hAnsi="宋体" w:eastAsia="宋体" w:cs="宋体"/>
          <w:sz w:val="24"/>
          <w:szCs w:val="24"/>
          <w:lang w:eastAsia="zh-CN"/>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4</w:t>
      </w:r>
    </w:p>
    <w:p w14:paraId="32187E8B">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0F7A53B6">
      <w:pPr>
        <w:spacing w:line="220" w:lineRule="auto"/>
        <w:ind w:left="1"/>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D8ED401">
      <w:pPr>
        <w:spacing w:line="172" w:lineRule="exact"/>
      </w:pPr>
    </w:p>
    <w:tbl>
      <w:tblPr>
        <w:tblStyle w:val="129"/>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7F2AF1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2CD9C9AC">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02AB1512">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0FC8F2DE">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538F959C">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4899F36B">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61883D9E">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3942E252">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1D469DAE">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2E1D2185">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287A54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4B892307">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31C66C31">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5BB872F2">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53BD485F">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22E7D9A1">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原产地和</w:t>
            </w:r>
          </w:p>
          <w:p w14:paraId="4B0B2C18">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13DF6F13">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44FFDACF">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2B4CBFCA">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0103D933">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1A2A97F2">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更换</w:t>
            </w:r>
          </w:p>
          <w:p w14:paraId="70196BED">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60D85B07">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610A75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1664C69E">
            <w:pPr>
              <w:spacing w:before="237" w:line="186" w:lineRule="auto"/>
              <w:ind w:left="223"/>
              <w:jc w:val="center"/>
              <w:rPr>
                <w:rFonts w:ascii="宋体" w:hAnsi="宋体" w:eastAsia="宋体" w:cs="宋体"/>
                <w:szCs w:val="21"/>
              </w:rPr>
            </w:pPr>
            <w:r>
              <w:rPr>
                <w:rFonts w:ascii="宋体" w:hAnsi="宋体" w:eastAsia="宋体" w:cs="宋体"/>
                <w:szCs w:val="21"/>
              </w:rPr>
              <w:t>1</w:t>
            </w:r>
          </w:p>
        </w:tc>
        <w:tc>
          <w:tcPr>
            <w:tcW w:w="2543" w:type="dxa"/>
          </w:tcPr>
          <w:p w14:paraId="4425E1AE">
            <w:pPr>
              <w:spacing w:before="237" w:line="186" w:lineRule="auto"/>
              <w:ind w:left="223"/>
              <w:jc w:val="center"/>
              <w:rPr>
                <w:rFonts w:hint="default" w:ascii="宋体" w:hAnsi="宋体" w:eastAsia="宋体" w:cs="宋体"/>
                <w:szCs w:val="21"/>
                <w:lang w:val="en-US" w:eastAsia="zh-CN"/>
              </w:rPr>
            </w:pPr>
          </w:p>
        </w:tc>
        <w:tc>
          <w:tcPr>
            <w:tcW w:w="2100" w:type="dxa"/>
          </w:tcPr>
          <w:p w14:paraId="18F3DF82">
            <w:pPr>
              <w:spacing w:before="237" w:line="186" w:lineRule="auto"/>
              <w:ind w:left="223"/>
              <w:jc w:val="center"/>
              <w:rPr>
                <w:rFonts w:ascii="宋体" w:hAnsi="宋体" w:eastAsia="宋体" w:cs="宋体"/>
                <w:szCs w:val="21"/>
              </w:rPr>
            </w:pPr>
          </w:p>
        </w:tc>
        <w:tc>
          <w:tcPr>
            <w:tcW w:w="840" w:type="dxa"/>
          </w:tcPr>
          <w:p w14:paraId="7B2C794B">
            <w:pPr>
              <w:spacing w:before="237" w:line="186" w:lineRule="auto"/>
              <w:ind w:left="223"/>
              <w:jc w:val="center"/>
              <w:rPr>
                <w:rFonts w:hint="eastAsia" w:ascii="宋体" w:hAnsi="宋体" w:eastAsia="宋体" w:cs="宋体"/>
                <w:szCs w:val="21"/>
                <w:lang w:val="en-US" w:eastAsia="zh-CN"/>
              </w:rPr>
            </w:pPr>
          </w:p>
        </w:tc>
        <w:tc>
          <w:tcPr>
            <w:tcW w:w="2239" w:type="dxa"/>
          </w:tcPr>
          <w:p w14:paraId="5139F7C4">
            <w:pPr>
              <w:rPr>
                <w:rFonts w:ascii="Arial"/>
              </w:rPr>
            </w:pPr>
          </w:p>
        </w:tc>
        <w:tc>
          <w:tcPr>
            <w:tcW w:w="1498" w:type="dxa"/>
          </w:tcPr>
          <w:p w14:paraId="51106943">
            <w:pPr>
              <w:rPr>
                <w:rFonts w:ascii="Arial"/>
              </w:rPr>
            </w:pPr>
          </w:p>
        </w:tc>
        <w:tc>
          <w:tcPr>
            <w:tcW w:w="1861" w:type="dxa"/>
          </w:tcPr>
          <w:p w14:paraId="716B8BBF">
            <w:pPr>
              <w:rPr>
                <w:rFonts w:ascii="Arial"/>
              </w:rPr>
            </w:pPr>
          </w:p>
        </w:tc>
        <w:tc>
          <w:tcPr>
            <w:tcW w:w="1120" w:type="dxa"/>
          </w:tcPr>
          <w:p w14:paraId="4967F88A">
            <w:pPr>
              <w:rPr>
                <w:rFonts w:ascii="Arial"/>
              </w:rPr>
            </w:pPr>
          </w:p>
        </w:tc>
        <w:tc>
          <w:tcPr>
            <w:tcW w:w="1125" w:type="dxa"/>
          </w:tcPr>
          <w:p w14:paraId="4BA5C956">
            <w:pPr>
              <w:rPr>
                <w:rFonts w:ascii="Arial"/>
              </w:rPr>
            </w:pPr>
          </w:p>
        </w:tc>
      </w:tr>
      <w:tr w14:paraId="3F4E0B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64E3FFFF">
            <w:pPr>
              <w:spacing w:before="237" w:line="186" w:lineRule="auto"/>
              <w:ind w:left="223"/>
              <w:jc w:val="center"/>
              <w:rPr>
                <w:rFonts w:ascii="宋体" w:hAnsi="宋体" w:eastAsia="宋体" w:cs="宋体"/>
                <w:szCs w:val="21"/>
              </w:rPr>
            </w:pPr>
            <w:r>
              <w:rPr>
                <w:rFonts w:ascii="宋体" w:hAnsi="宋体" w:eastAsia="宋体" w:cs="宋体"/>
                <w:szCs w:val="21"/>
              </w:rPr>
              <w:t>2</w:t>
            </w:r>
          </w:p>
        </w:tc>
        <w:tc>
          <w:tcPr>
            <w:tcW w:w="2543" w:type="dxa"/>
          </w:tcPr>
          <w:p w14:paraId="21B7FA02">
            <w:pPr>
              <w:spacing w:before="237" w:line="186" w:lineRule="auto"/>
              <w:ind w:left="223"/>
              <w:jc w:val="center"/>
              <w:rPr>
                <w:rFonts w:hint="default" w:ascii="宋体" w:hAnsi="宋体" w:eastAsia="宋体" w:cs="宋体"/>
                <w:szCs w:val="21"/>
                <w:lang w:val="en-US" w:eastAsia="zh-CN"/>
              </w:rPr>
            </w:pPr>
          </w:p>
        </w:tc>
        <w:tc>
          <w:tcPr>
            <w:tcW w:w="2100" w:type="dxa"/>
          </w:tcPr>
          <w:p w14:paraId="7D31D668">
            <w:pPr>
              <w:spacing w:before="237" w:line="186" w:lineRule="auto"/>
              <w:ind w:left="223"/>
              <w:jc w:val="center"/>
              <w:rPr>
                <w:rFonts w:ascii="宋体" w:hAnsi="宋体" w:eastAsia="宋体" w:cs="宋体"/>
                <w:szCs w:val="21"/>
              </w:rPr>
            </w:pPr>
          </w:p>
        </w:tc>
        <w:tc>
          <w:tcPr>
            <w:tcW w:w="840" w:type="dxa"/>
          </w:tcPr>
          <w:p w14:paraId="0CA63C4E">
            <w:pPr>
              <w:spacing w:before="237" w:line="186" w:lineRule="auto"/>
              <w:ind w:left="223"/>
              <w:jc w:val="center"/>
              <w:rPr>
                <w:rFonts w:hint="eastAsia" w:ascii="宋体" w:hAnsi="宋体" w:eastAsia="宋体" w:cs="宋体"/>
                <w:szCs w:val="21"/>
                <w:lang w:val="en-US" w:eastAsia="zh-CN"/>
              </w:rPr>
            </w:pPr>
          </w:p>
        </w:tc>
        <w:tc>
          <w:tcPr>
            <w:tcW w:w="2239" w:type="dxa"/>
          </w:tcPr>
          <w:p w14:paraId="41F18E21">
            <w:pPr>
              <w:rPr>
                <w:rFonts w:ascii="Arial"/>
              </w:rPr>
            </w:pPr>
          </w:p>
        </w:tc>
        <w:tc>
          <w:tcPr>
            <w:tcW w:w="1498" w:type="dxa"/>
          </w:tcPr>
          <w:p w14:paraId="045D8C7A">
            <w:pPr>
              <w:rPr>
                <w:rFonts w:ascii="Arial"/>
              </w:rPr>
            </w:pPr>
          </w:p>
        </w:tc>
        <w:tc>
          <w:tcPr>
            <w:tcW w:w="1861" w:type="dxa"/>
          </w:tcPr>
          <w:p w14:paraId="0B9D32C1">
            <w:pPr>
              <w:rPr>
                <w:rFonts w:ascii="Arial"/>
              </w:rPr>
            </w:pPr>
          </w:p>
        </w:tc>
        <w:tc>
          <w:tcPr>
            <w:tcW w:w="1120" w:type="dxa"/>
          </w:tcPr>
          <w:p w14:paraId="749A005B">
            <w:pPr>
              <w:rPr>
                <w:rFonts w:ascii="Arial"/>
              </w:rPr>
            </w:pPr>
          </w:p>
        </w:tc>
        <w:tc>
          <w:tcPr>
            <w:tcW w:w="1125" w:type="dxa"/>
          </w:tcPr>
          <w:p w14:paraId="1240E513">
            <w:pPr>
              <w:rPr>
                <w:rFonts w:ascii="Arial"/>
              </w:rPr>
            </w:pPr>
          </w:p>
        </w:tc>
      </w:tr>
      <w:tr w14:paraId="253473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41CEDD6E">
            <w:pPr>
              <w:spacing w:before="237" w:line="186" w:lineRule="auto"/>
              <w:ind w:left="223"/>
              <w:jc w:val="center"/>
              <w:rPr>
                <w:rFonts w:hint="eastAsia" w:ascii="宋体" w:hAnsi="宋体" w:eastAsia="宋体" w:cs="宋体"/>
                <w:szCs w:val="21"/>
                <w:lang w:val="en-US" w:eastAsia="zh-CN"/>
              </w:rPr>
            </w:pPr>
            <w:r>
              <w:rPr>
                <w:rFonts w:hint="eastAsia" w:ascii="宋体" w:hAnsi="宋体" w:eastAsia="宋体" w:cs="宋体"/>
                <w:szCs w:val="21"/>
                <w:lang w:val="en-US" w:eastAsia="zh-CN"/>
              </w:rPr>
              <w:t>3</w:t>
            </w:r>
          </w:p>
        </w:tc>
        <w:tc>
          <w:tcPr>
            <w:tcW w:w="2543" w:type="dxa"/>
          </w:tcPr>
          <w:p w14:paraId="49670CF2">
            <w:pPr>
              <w:spacing w:before="237" w:line="186" w:lineRule="auto"/>
              <w:ind w:left="223"/>
              <w:jc w:val="center"/>
              <w:rPr>
                <w:rFonts w:hint="default" w:ascii="宋体" w:hAnsi="宋体" w:eastAsia="宋体" w:cs="宋体"/>
                <w:szCs w:val="21"/>
                <w:lang w:val="en-US" w:eastAsia="zh-CN"/>
              </w:rPr>
            </w:pPr>
          </w:p>
        </w:tc>
        <w:tc>
          <w:tcPr>
            <w:tcW w:w="2100" w:type="dxa"/>
          </w:tcPr>
          <w:p w14:paraId="12218AE9">
            <w:pPr>
              <w:spacing w:before="237" w:line="186" w:lineRule="auto"/>
              <w:ind w:left="223"/>
              <w:jc w:val="center"/>
              <w:rPr>
                <w:rFonts w:ascii="宋体" w:hAnsi="宋体" w:eastAsia="宋体" w:cs="宋体"/>
                <w:szCs w:val="21"/>
              </w:rPr>
            </w:pPr>
          </w:p>
        </w:tc>
        <w:tc>
          <w:tcPr>
            <w:tcW w:w="840" w:type="dxa"/>
          </w:tcPr>
          <w:p w14:paraId="0E741A77">
            <w:pPr>
              <w:spacing w:before="237" w:line="186" w:lineRule="auto"/>
              <w:ind w:left="223"/>
              <w:jc w:val="center"/>
              <w:rPr>
                <w:rFonts w:hint="eastAsia" w:ascii="宋体" w:hAnsi="宋体" w:eastAsia="宋体" w:cs="宋体"/>
                <w:szCs w:val="21"/>
                <w:lang w:val="en-US" w:eastAsia="zh-CN"/>
              </w:rPr>
            </w:pPr>
          </w:p>
        </w:tc>
        <w:tc>
          <w:tcPr>
            <w:tcW w:w="2239" w:type="dxa"/>
          </w:tcPr>
          <w:p w14:paraId="03923472">
            <w:pPr>
              <w:rPr>
                <w:rFonts w:ascii="Arial"/>
              </w:rPr>
            </w:pPr>
          </w:p>
        </w:tc>
        <w:tc>
          <w:tcPr>
            <w:tcW w:w="1498" w:type="dxa"/>
          </w:tcPr>
          <w:p w14:paraId="0FE18711">
            <w:pPr>
              <w:rPr>
                <w:rFonts w:ascii="Arial"/>
              </w:rPr>
            </w:pPr>
          </w:p>
        </w:tc>
        <w:tc>
          <w:tcPr>
            <w:tcW w:w="1861" w:type="dxa"/>
          </w:tcPr>
          <w:p w14:paraId="7135BC60">
            <w:pPr>
              <w:rPr>
                <w:rFonts w:ascii="Arial"/>
              </w:rPr>
            </w:pPr>
          </w:p>
        </w:tc>
        <w:tc>
          <w:tcPr>
            <w:tcW w:w="1120" w:type="dxa"/>
          </w:tcPr>
          <w:p w14:paraId="125EC66E">
            <w:pPr>
              <w:rPr>
                <w:rFonts w:ascii="Arial"/>
              </w:rPr>
            </w:pPr>
          </w:p>
        </w:tc>
        <w:tc>
          <w:tcPr>
            <w:tcW w:w="1125" w:type="dxa"/>
          </w:tcPr>
          <w:p w14:paraId="4DD7DAB1">
            <w:pPr>
              <w:rPr>
                <w:rFonts w:ascii="Arial"/>
              </w:rPr>
            </w:pPr>
          </w:p>
        </w:tc>
      </w:tr>
      <w:tr w14:paraId="361D11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61B10B5C">
            <w:pPr>
              <w:spacing w:before="237" w:line="186" w:lineRule="auto"/>
              <w:ind w:left="223"/>
              <w:jc w:val="center"/>
              <w:rPr>
                <w:rFonts w:hint="eastAsia" w:ascii="宋体" w:hAnsi="宋体" w:eastAsia="宋体" w:cs="宋体"/>
                <w:szCs w:val="21"/>
                <w:lang w:val="en-US" w:eastAsia="zh-CN"/>
              </w:rPr>
            </w:pPr>
            <w:r>
              <w:rPr>
                <w:rFonts w:hint="eastAsia" w:ascii="宋体" w:hAnsi="宋体" w:eastAsia="宋体" w:cs="宋体"/>
                <w:szCs w:val="21"/>
                <w:lang w:val="en-US" w:eastAsia="zh-CN"/>
              </w:rPr>
              <w:t>4</w:t>
            </w:r>
          </w:p>
        </w:tc>
        <w:tc>
          <w:tcPr>
            <w:tcW w:w="2543" w:type="dxa"/>
          </w:tcPr>
          <w:p w14:paraId="1AB72095">
            <w:pPr>
              <w:spacing w:before="237" w:line="186" w:lineRule="auto"/>
              <w:ind w:left="223"/>
              <w:jc w:val="center"/>
              <w:rPr>
                <w:rFonts w:hint="default" w:ascii="宋体" w:hAnsi="宋体" w:eastAsia="宋体" w:cs="宋体"/>
                <w:szCs w:val="21"/>
                <w:lang w:val="en-US" w:eastAsia="zh-CN"/>
              </w:rPr>
            </w:pPr>
          </w:p>
        </w:tc>
        <w:tc>
          <w:tcPr>
            <w:tcW w:w="2100" w:type="dxa"/>
          </w:tcPr>
          <w:p w14:paraId="162B1B24">
            <w:pPr>
              <w:spacing w:before="237" w:line="186" w:lineRule="auto"/>
              <w:ind w:left="223"/>
              <w:jc w:val="center"/>
              <w:rPr>
                <w:rFonts w:ascii="宋体" w:hAnsi="宋体" w:eastAsia="宋体" w:cs="宋体"/>
                <w:szCs w:val="21"/>
              </w:rPr>
            </w:pPr>
          </w:p>
        </w:tc>
        <w:tc>
          <w:tcPr>
            <w:tcW w:w="840" w:type="dxa"/>
          </w:tcPr>
          <w:p w14:paraId="44C65027">
            <w:pPr>
              <w:spacing w:before="237" w:line="186" w:lineRule="auto"/>
              <w:ind w:left="223"/>
              <w:jc w:val="center"/>
              <w:rPr>
                <w:rFonts w:hint="eastAsia" w:ascii="宋体" w:hAnsi="宋体" w:eastAsia="宋体" w:cs="宋体"/>
                <w:szCs w:val="21"/>
                <w:lang w:val="en-US" w:eastAsia="zh-CN"/>
              </w:rPr>
            </w:pPr>
          </w:p>
        </w:tc>
        <w:tc>
          <w:tcPr>
            <w:tcW w:w="2239" w:type="dxa"/>
          </w:tcPr>
          <w:p w14:paraId="042C6E38">
            <w:pPr>
              <w:rPr>
                <w:rFonts w:ascii="Arial"/>
              </w:rPr>
            </w:pPr>
          </w:p>
        </w:tc>
        <w:tc>
          <w:tcPr>
            <w:tcW w:w="1498" w:type="dxa"/>
          </w:tcPr>
          <w:p w14:paraId="1C361FAB">
            <w:pPr>
              <w:rPr>
                <w:rFonts w:ascii="Arial"/>
              </w:rPr>
            </w:pPr>
          </w:p>
        </w:tc>
        <w:tc>
          <w:tcPr>
            <w:tcW w:w="1861" w:type="dxa"/>
          </w:tcPr>
          <w:p w14:paraId="1A01312B">
            <w:pPr>
              <w:rPr>
                <w:rFonts w:ascii="Arial"/>
              </w:rPr>
            </w:pPr>
          </w:p>
        </w:tc>
        <w:tc>
          <w:tcPr>
            <w:tcW w:w="1120" w:type="dxa"/>
          </w:tcPr>
          <w:p w14:paraId="7FE15D4A">
            <w:pPr>
              <w:rPr>
                <w:rFonts w:ascii="Arial"/>
              </w:rPr>
            </w:pPr>
          </w:p>
        </w:tc>
        <w:tc>
          <w:tcPr>
            <w:tcW w:w="1125" w:type="dxa"/>
          </w:tcPr>
          <w:p w14:paraId="29F3A517">
            <w:pPr>
              <w:rPr>
                <w:rFonts w:ascii="Arial"/>
              </w:rPr>
            </w:pPr>
          </w:p>
        </w:tc>
      </w:tr>
      <w:tr w14:paraId="72B539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36CA13B2">
            <w:pPr>
              <w:spacing w:before="237" w:line="186" w:lineRule="auto"/>
              <w:ind w:left="223"/>
              <w:jc w:val="center"/>
              <w:rPr>
                <w:rFonts w:hint="eastAsia" w:ascii="宋体" w:hAnsi="宋体" w:eastAsia="宋体" w:cs="宋体"/>
                <w:szCs w:val="21"/>
                <w:lang w:val="en-US" w:eastAsia="zh-CN"/>
              </w:rPr>
            </w:pPr>
            <w:r>
              <w:rPr>
                <w:rFonts w:hint="eastAsia" w:ascii="宋体" w:hAnsi="宋体" w:eastAsia="宋体" w:cs="宋体"/>
                <w:szCs w:val="21"/>
                <w:lang w:val="en-US" w:eastAsia="zh-CN"/>
              </w:rPr>
              <w:t>5</w:t>
            </w:r>
          </w:p>
        </w:tc>
        <w:tc>
          <w:tcPr>
            <w:tcW w:w="2543" w:type="dxa"/>
          </w:tcPr>
          <w:p w14:paraId="30939996">
            <w:pPr>
              <w:spacing w:before="237" w:line="186" w:lineRule="auto"/>
              <w:ind w:left="223"/>
              <w:jc w:val="center"/>
              <w:rPr>
                <w:rFonts w:hint="default" w:ascii="宋体" w:hAnsi="宋体" w:eastAsia="宋体" w:cs="宋体"/>
                <w:szCs w:val="21"/>
                <w:lang w:val="en-US" w:eastAsia="zh-CN"/>
              </w:rPr>
            </w:pPr>
          </w:p>
        </w:tc>
        <w:tc>
          <w:tcPr>
            <w:tcW w:w="2100" w:type="dxa"/>
          </w:tcPr>
          <w:p w14:paraId="45E68DE9">
            <w:pPr>
              <w:spacing w:before="237" w:line="186" w:lineRule="auto"/>
              <w:ind w:left="223"/>
              <w:jc w:val="center"/>
              <w:rPr>
                <w:rFonts w:ascii="宋体" w:hAnsi="宋体" w:eastAsia="宋体" w:cs="宋体"/>
                <w:szCs w:val="21"/>
              </w:rPr>
            </w:pPr>
          </w:p>
        </w:tc>
        <w:tc>
          <w:tcPr>
            <w:tcW w:w="840" w:type="dxa"/>
          </w:tcPr>
          <w:p w14:paraId="5421C026">
            <w:pPr>
              <w:spacing w:before="237" w:line="186" w:lineRule="auto"/>
              <w:ind w:left="223"/>
              <w:jc w:val="center"/>
              <w:rPr>
                <w:rFonts w:hint="eastAsia" w:ascii="宋体" w:hAnsi="宋体" w:eastAsia="宋体" w:cs="宋体"/>
                <w:szCs w:val="21"/>
                <w:lang w:val="en-US" w:eastAsia="zh-CN"/>
              </w:rPr>
            </w:pPr>
          </w:p>
        </w:tc>
        <w:tc>
          <w:tcPr>
            <w:tcW w:w="2239" w:type="dxa"/>
          </w:tcPr>
          <w:p w14:paraId="7763769A">
            <w:pPr>
              <w:rPr>
                <w:rFonts w:ascii="Arial"/>
              </w:rPr>
            </w:pPr>
          </w:p>
        </w:tc>
        <w:tc>
          <w:tcPr>
            <w:tcW w:w="1498" w:type="dxa"/>
          </w:tcPr>
          <w:p w14:paraId="5B4D356A">
            <w:pPr>
              <w:rPr>
                <w:rFonts w:ascii="Arial"/>
              </w:rPr>
            </w:pPr>
          </w:p>
        </w:tc>
        <w:tc>
          <w:tcPr>
            <w:tcW w:w="1861" w:type="dxa"/>
          </w:tcPr>
          <w:p w14:paraId="74A0C501">
            <w:pPr>
              <w:rPr>
                <w:rFonts w:ascii="Arial"/>
              </w:rPr>
            </w:pPr>
          </w:p>
        </w:tc>
        <w:tc>
          <w:tcPr>
            <w:tcW w:w="1120" w:type="dxa"/>
          </w:tcPr>
          <w:p w14:paraId="137B9486">
            <w:pPr>
              <w:rPr>
                <w:rFonts w:ascii="Arial"/>
              </w:rPr>
            </w:pPr>
          </w:p>
        </w:tc>
        <w:tc>
          <w:tcPr>
            <w:tcW w:w="1125" w:type="dxa"/>
          </w:tcPr>
          <w:p w14:paraId="19BA6C1D">
            <w:pPr>
              <w:rPr>
                <w:rFonts w:ascii="Arial"/>
              </w:rPr>
            </w:pPr>
          </w:p>
        </w:tc>
      </w:tr>
      <w:tr w14:paraId="6E70AF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3" w:hRule="atLeast"/>
        </w:trPr>
        <w:tc>
          <w:tcPr>
            <w:tcW w:w="9729" w:type="dxa"/>
            <w:gridSpan w:val="6"/>
          </w:tcPr>
          <w:p w14:paraId="389D0B36">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5979E025">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14:paraId="7305C6B7">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452199DB">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752FAFCA">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7973547D">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0BD56C3">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696BA5B">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722A60E2">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34365F33">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2F921551">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2199DF98">
      <w:pPr>
        <w:spacing w:before="87" w:line="198" w:lineRule="auto"/>
        <w:ind w:left="411"/>
        <w:rPr>
          <w:rFonts w:ascii="宋体" w:hAnsi="宋体" w:eastAsia="宋体" w:cs="宋体"/>
          <w:spacing w:val="-2"/>
          <w:sz w:val="24"/>
          <w:szCs w:val="24"/>
        </w:rPr>
        <w:sectPr>
          <w:footerReference r:id="rId32" w:type="default"/>
          <w:pgSz w:w="16841" w:h="11907"/>
          <w:pgMar w:top="400" w:right="1500" w:bottom="1184" w:left="1480" w:header="0" w:footer="1022" w:gutter="0"/>
          <w:cols w:space="720" w:num="1"/>
        </w:sectPr>
      </w:pPr>
    </w:p>
    <w:p w14:paraId="18946E8D">
      <w:pPr>
        <w:pStyle w:val="7"/>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-5</w:t>
      </w:r>
    </w:p>
    <w:p w14:paraId="69C07655">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1E5EBA50">
      <w:pPr>
        <w:spacing w:before="24" w:line="221" w:lineRule="auto"/>
        <w:ind w:left="211" w:firstLine="2310" w:firstLineChars="1100"/>
        <w:jc w:val="right"/>
        <w:rPr>
          <w:rFonts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1C1ADF4F">
      <w:pPr>
        <w:spacing w:line="127" w:lineRule="exact"/>
      </w:pPr>
    </w:p>
    <w:tbl>
      <w:tblPr>
        <w:tblStyle w:val="129"/>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4844F7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374F4691">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7A599631">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605B7F98">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3"/>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含税）</w:t>
            </w:r>
          </w:p>
        </w:tc>
        <w:tc>
          <w:tcPr>
            <w:tcW w:w="3362" w:type="dxa"/>
          </w:tcPr>
          <w:p w14:paraId="7C65581C">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5632DC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13ABFF39">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14:paraId="4E348ADA">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lang w:val="en-US" w:eastAsia="zh-CN"/>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71918C2C">
            <w:pPr>
              <w:rPr>
                <w:rFonts w:ascii="Arial"/>
              </w:rPr>
            </w:pPr>
          </w:p>
        </w:tc>
        <w:tc>
          <w:tcPr>
            <w:tcW w:w="3362" w:type="dxa"/>
          </w:tcPr>
          <w:p w14:paraId="0B1D8245">
            <w:pPr>
              <w:rPr>
                <w:rFonts w:ascii="Arial"/>
              </w:rPr>
            </w:pPr>
          </w:p>
        </w:tc>
      </w:tr>
      <w:tr w14:paraId="7C6EAF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0AF619FC">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14:paraId="48BC63CB">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694006B4">
            <w:pPr>
              <w:rPr>
                <w:rFonts w:ascii="Arial"/>
              </w:rPr>
            </w:pPr>
          </w:p>
        </w:tc>
        <w:tc>
          <w:tcPr>
            <w:tcW w:w="3362" w:type="dxa"/>
          </w:tcPr>
          <w:p w14:paraId="49A9AA22">
            <w:pPr>
              <w:rPr>
                <w:rFonts w:ascii="Arial"/>
              </w:rPr>
            </w:pPr>
          </w:p>
        </w:tc>
      </w:tr>
      <w:tr w14:paraId="7AE95F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1D7F36C9">
            <w:pPr>
              <w:rPr>
                <w:rFonts w:ascii="Arial"/>
              </w:rPr>
            </w:pPr>
          </w:p>
          <w:p w14:paraId="38A425DA">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14:paraId="27C0A2C4">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1322329D">
            <w:pPr>
              <w:rPr>
                <w:rFonts w:ascii="Arial"/>
              </w:rPr>
            </w:pPr>
          </w:p>
        </w:tc>
        <w:tc>
          <w:tcPr>
            <w:tcW w:w="3362" w:type="dxa"/>
          </w:tcPr>
          <w:p w14:paraId="1959925C">
            <w:pPr>
              <w:rPr>
                <w:rFonts w:ascii="Arial"/>
              </w:rPr>
            </w:pPr>
          </w:p>
        </w:tc>
      </w:tr>
      <w:tr w14:paraId="326ABF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714AD2AD">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14:paraId="6A0F6655">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0D610BB5">
            <w:pPr>
              <w:rPr>
                <w:rFonts w:ascii="Arial"/>
              </w:rPr>
            </w:pPr>
          </w:p>
        </w:tc>
        <w:tc>
          <w:tcPr>
            <w:tcW w:w="3362" w:type="dxa"/>
          </w:tcPr>
          <w:p w14:paraId="188FA84A">
            <w:pPr>
              <w:rPr>
                <w:rFonts w:ascii="Arial"/>
              </w:rPr>
            </w:pPr>
          </w:p>
        </w:tc>
      </w:tr>
      <w:tr w14:paraId="7E4B4E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1E570E0F">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7DEAABDE">
            <w:pPr>
              <w:spacing w:before="266" w:line="221" w:lineRule="auto"/>
              <w:jc w:val="left"/>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不含税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7C061B43">
            <w:pPr>
              <w:spacing w:before="266" w:line="221" w:lineRule="auto"/>
              <w:ind w:firstLine="416" w:firstLineChars="200"/>
              <w:jc w:val="left"/>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175A1E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vAlign w:val="top"/>
          </w:tcPr>
          <w:p w14:paraId="4D07BDF8">
            <w:pPr>
              <w:spacing w:before="266" w:line="221" w:lineRule="auto"/>
              <w:jc w:val="center"/>
              <w:rPr>
                <w:rFonts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vAlign w:val="top"/>
          </w:tcPr>
          <w:p w14:paraId="213FBBB5">
            <w:pPr>
              <w:spacing w:before="266" w:line="221" w:lineRule="auto"/>
              <w:jc w:val="left"/>
              <w:rPr>
                <w:rFonts w:hint="default"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vAlign w:val="top"/>
          </w:tcPr>
          <w:p w14:paraId="25BBB576">
            <w:pPr>
              <w:spacing w:before="266" w:line="221" w:lineRule="auto"/>
              <w:ind w:firstLine="416" w:firstLineChars="200"/>
              <w:jc w:val="left"/>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税率：</w:t>
            </w:r>
            <w:r>
              <w:rPr>
                <w:rFonts w:hint="eastAsia" w:ascii="宋体" w:hAnsi="宋体" w:eastAsia="宋体" w:cs="宋体"/>
                <w:spacing w:val="-1"/>
                <w:szCs w:val="21"/>
                <w:u w:val="single"/>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p>
        </w:tc>
      </w:tr>
    </w:tbl>
    <w:p w14:paraId="3CD9612A">
      <w:pPr>
        <w:spacing w:line="291" w:lineRule="auto"/>
        <w:rPr>
          <w:rFonts w:ascii="Arial"/>
        </w:rPr>
      </w:pPr>
    </w:p>
    <w:p w14:paraId="4D63B321">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38FD774D">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33D76395">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4066A39A">
      <w:pPr>
        <w:pStyle w:val="16"/>
      </w:pPr>
    </w:p>
    <w:p w14:paraId="26428D98">
      <w:pPr>
        <w:pStyle w:val="16"/>
      </w:pPr>
    </w:p>
    <w:p w14:paraId="079E8CA5">
      <w:pPr>
        <w:spacing w:before="140" w:line="220" w:lineRule="auto"/>
        <w:ind w:left="2" w:firstLine="464" w:firstLineChars="200"/>
        <w:rPr>
          <w:rFonts w:ascii="宋体" w:hAnsi="宋体" w:eastAsia="宋体" w:cs="宋体"/>
          <w:spacing w:val="-2"/>
          <w:szCs w:val="21"/>
        </w:rPr>
        <w:sectPr>
          <w:footerReference r:id="rId33" w:type="default"/>
          <w:pgSz w:w="16841" w:h="11907"/>
          <w:pgMar w:top="400" w:right="1699" w:bottom="1168" w:left="1481" w:header="0" w:footer="990" w:gutter="0"/>
          <w:pgBorders>
            <w:top w:val="none" w:sz="0" w:space="0"/>
            <w:left w:val="none" w:sz="0" w:space="0"/>
            <w:bottom w:val="none" w:sz="0" w:space="0"/>
            <w:right w:val="none" w:sz="0" w:space="0"/>
          </w:pgBorders>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4DEA9F5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5DB040CF">
      <w:pPr>
        <w:rPr>
          <w:rFonts w:ascii="Calibri" w:hAnsi="Calibri" w:eastAsia="宋体" w:cs="Times New Roman"/>
          <w:szCs w:val="20"/>
        </w:rPr>
      </w:pPr>
    </w:p>
    <w:tbl>
      <w:tblPr>
        <w:tblStyle w:val="36"/>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4BB9B39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C9D4037">
            <w:pPr>
              <w:jc w:val="center"/>
              <w:rPr>
                <w:rFonts w:hint="eastAsia" w:ascii="Times New Roman" w:hAnsi="Times New Roman" w:eastAsia="宋体" w:cs="Times New Roman"/>
                <w:b/>
                <w:szCs w:val="20"/>
                <w:lang w:eastAsia="zh-CN"/>
              </w:rPr>
            </w:pPr>
            <w:r>
              <w:rPr>
                <w:rFonts w:hint="eastAsia" w:ascii="宋体" w:hAnsi="宋体" w:eastAsia="宋体" w:cs="宋体"/>
                <w:sz w:val="24"/>
                <w:szCs w:val="24"/>
                <w:u w:val="single"/>
                <w:lang w:eastAsia="zh-CN"/>
              </w:rPr>
              <w:t>济南车桥公司桥壳加工线起重设备改造技改项目</w:t>
            </w:r>
          </w:p>
        </w:tc>
        <w:tc>
          <w:tcPr>
            <w:tcW w:w="2875" w:type="dxa"/>
            <w:tcBorders>
              <w:top w:val="single" w:color="auto" w:sz="4" w:space="0"/>
              <w:left w:val="single" w:color="auto" w:sz="4" w:space="0"/>
              <w:bottom w:val="single" w:color="auto" w:sz="4" w:space="0"/>
              <w:right w:val="single" w:color="auto" w:sz="4" w:space="0"/>
            </w:tcBorders>
            <w:vAlign w:val="center"/>
          </w:tcPr>
          <w:p w14:paraId="0DE7E635">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0A52E18A">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5F0E3B0E">
            <w:pPr>
              <w:jc w:val="center"/>
              <w:rPr>
                <w:rFonts w:ascii="Times New Roman" w:hAnsi="Times New Roman" w:eastAsia="宋体" w:cs="Times New Roman"/>
                <w:b/>
                <w:szCs w:val="20"/>
              </w:rPr>
            </w:pPr>
            <w:r>
              <w:rPr>
                <w:rFonts w:hint="eastAsia" w:ascii="宋体" w:hAnsi="宋体" w:eastAsia="宋体" w:cs="宋体"/>
                <w:b/>
                <w:szCs w:val="20"/>
              </w:rPr>
              <w:t>是否偏离</w:t>
            </w:r>
          </w:p>
          <w:p w14:paraId="2E99D5D2">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59B7107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5B856D9">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130BDB0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83EE985">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45D41B60">
            <w:pPr>
              <w:jc w:val="center"/>
              <w:rPr>
                <w:rFonts w:ascii="Times New Roman" w:hAnsi="Times New Roman" w:eastAsia="宋体" w:cs="Times New Roman"/>
                <w:b/>
                <w:szCs w:val="20"/>
              </w:rPr>
            </w:pPr>
          </w:p>
        </w:tc>
      </w:tr>
      <w:tr w14:paraId="69F64C6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7ED5E87">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3592B29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47340CDD">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99D8DC7">
            <w:pPr>
              <w:jc w:val="center"/>
              <w:rPr>
                <w:rFonts w:ascii="Times New Roman" w:hAnsi="Times New Roman" w:eastAsia="宋体" w:cs="Times New Roman"/>
                <w:b/>
                <w:szCs w:val="21"/>
              </w:rPr>
            </w:pPr>
          </w:p>
        </w:tc>
      </w:tr>
      <w:tr w14:paraId="1F6413E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0D6D4BF">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010B6702">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5B1A395E">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4AEFD4E">
            <w:pPr>
              <w:jc w:val="center"/>
              <w:rPr>
                <w:rFonts w:ascii="Times New Roman" w:hAnsi="Times New Roman" w:eastAsia="宋体" w:cs="Times New Roman"/>
                <w:b/>
                <w:szCs w:val="20"/>
              </w:rPr>
            </w:pPr>
          </w:p>
        </w:tc>
      </w:tr>
      <w:tr w14:paraId="372754D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FA874FB">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387EDD9F">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2C85FC0">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E785956">
            <w:pPr>
              <w:jc w:val="center"/>
              <w:rPr>
                <w:rFonts w:ascii="Times New Roman" w:hAnsi="Times New Roman" w:eastAsia="宋体" w:cs="Times New Roman"/>
                <w:b/>
                <w:szCs w:val="21"/>
              </w:rPr>
            </w:pPr>
          </w:p>
          <w:p w14:paraId="2349BDF1">
            <w:pPr>
              <w:jc w:val="center"/>
              <w:rPr>
                <w:rFonts w:ascii="Times New Roman" w:hAnsi="Times New Roman" w:eastAsia="宋体" w:cs="Times New Roman"/>
                <w:b/>
                <w:szCs w:val="21"/>
              </w:rPr>
            </w:pPr>
          </w:p>
          <w:p w14:paraId="5BEC1676">
            <w:pPr>
              <w:jc w:val="center"/>
              <w:rPr>
                <w:rFonts w:ascii="Times New Roman" w:hAnsi="Times New Roman" w:eastAsia="宋体" w:cs="Times New Roman"/>
                <w:b/>
                <w:szCs w:val="21"/>
              </w:rPr>
            </w:pPr>
          </w:p>
          <w:p w14:paraId="6DF6668F">
            <w:pPr>
              <w:jc w:val="center"/>
              <w:rPr>
                <w:rFonts w:ascii="Times New Roman" w:hAnsi="Times New Roman" w:eastAsia="宋体" w:cs="Times New Roman"/>
                <w:b/>
                <w:szCs w:val="21"/>
              </w:rPr>
            </w:pPr>
          </w:p>
          <w:p w14:paraId="69CA43BC">
            <w:pPr>
              <w:jc w:val="center"/>
              <w:rPr>
                <w:rFonts w:ascii="Times New Roman" w:hAnsi="Times New Roman" w:eastAsia="宋体" w:cs="Times New Roman"/>
                <w:b/>
                <w:szCs w:val="21"/>
              </w:rPr>
            </w:pPr>
          </w:p>
          <w:p w14:paraId="336FCC1E">
            <w:pPr>
              <w:jc w:val="center"/>
              <w:rPr>
                <w:rFonts w:ascii="Times New Roman" w:hAnsi="Times New Roman" w:eastAsia="宋体" w:cs="Times New Roman"/>
                <w:b/>
                <w:szCs w:val="21"/>
              </w:rPr>
            </w:pPr>
          </w:p>
          <w:p w14:paraId="4AABC015">
            <w:pPr>
              <w:jc w:val="center"/>
              <w:rPr>
                <w:rFonts w:ascii="Times New Roman" w:hAnsi="Times New Roman" w:eastAsia="宋体" w:cs="Times New Roman"/>
                <w:b/>
                <w:szCs w:val="21"/>
              </w:rPr>
            </w:pPr>
          </w:p>
          <w:p w14:paraId="01A6C692">
            <w:pPr>
              <w:jc w:val="center"/>
              <w:rPr>
                <w:rFonts w:ascii="Times New Roman" w:hAnsi="Times New Roman" w:eastAsia="宋体" w:cs="Times New Roman"/>
                <w:b/>
                <w:szCs w:val="21"/>
              </w:rPr>
            </w:pPr>
          </w:p>
          <w:p w14:paraId="2E4C3D15">
            <w:pPr>
              <w:jc w:val="center"/>
              <w:rPr>
                <w:rFonts w:ascii="Times New Roman" w:hAnsi="Times New Roman" w:eastAsia="宋体" w:cs="Times New Roman"/>
                <w:b/>
                <w:szCs w:val="21"/>
              </w:rPr>
            </w:pPr>
          </w:p>
          <w:p w14:paraId="383795CF">
            <w:pPr>
              <w:jc w:val="center"/>
              <w:rPr>
                <w:rFonts w:ascii="Times New Roman" w:hAnsi="Times New Roman" w:eastAsia="宋体" w:cs="Times New Roman"/>
                <w:b/>
                <w:szCs w:val="21"/>
              </w:rPr>
            </w:pPr>
          </w:p>
          <w:p w14:paraId="05AD63B3">
            <w:pPr>
              <w:jc w:val="center"/>
              <w:rPr>
                <w:rFonts w:ascii="Times New Roman" w:hAnsi="Times New Roman" w:eastAsia="宋体" w:cs="Times New Roman"/>
                <w:b/>
                <w:szCs w:val="21"/>
              </w:rPr>
            </w:pPr>
          </w:p>
          <w:p w14:paraId="6FFD443E">
            <w:pPr>
              <w:jc w:val="center"/>
              <w:rPr>
                <w:rFonts w:ascii="Times New Roman" w:hAnsi="Times New Roman" w:eastAsia="宋体" w:cs="Times New Roman"/>
                <w:b/>
                <w:szCs w:val="21"/>
              </w:rPr>
            </w:pPr>
          </w:p>
          <w:p w14:paraId="282F86D0">
            <w:pPr>
              <w:jc w:val="center"/>
              <w:rPr>
                <w:rFonts w:ascii="Times New Roman" w:hAnsi="Times New Roman" w:eastAsia="宋体" w:cs="Times New Roman"/>
                <w:b/>
                <w:szCs w:val="21"/>
              </w:rPr>
            </w:pPr>
          </w:p>
          <w:p w14:paraId="1BE3E156">
            <w:pPr>
              <w:jc w:val="center"/>
              <w:rPr>
                <w:rFonts w:ascii="Times New Roman" w:hAnsi="Times New Roman" w:eastAsia="宋体" w:cs="Times New Roman"/>
                <w:b/>
                <w:szCs w:val="21"/>
              </w:rPr>
            </w:pPr>
          </w:p>
          <w:p w14:paraId="1B97C200">
            <w:pPr>
              <w:jc w:val="center"/>
              <w:rPr>
                <w:rFonts w:ascii="Times New Roman" w:hAnsi="Times New Roman" w:eastAsia="宋体" w:cs="Times New Roman"/>
                <w:b/>
                <w:szCs w:val="21"/>
              </w:rPr>
            </w:pPr>
          </w:p>
          <w:p w14:paraId="3E02F83E">
            <w:pPr>
              <w:jc w:val="center"/>
              <w:rPr>
                <w:rFonts w:ascii="Times New Roman" w:hAnsi="Times New Roman" w:eastAsia="宋体" w:cs="Times New Roman"/>
                <w:b/>
                <w:szCs w:val="21"/>
              </w:rPr>
            </w:pPr>
          </w:p>
          <w:p w14:paraId="019CA518">
            <w:pPr>
              <w:jc w:val="center"/>
              <w:rPr>
                <w:rFonts w:ascii="Times New Roman" w:hAnsi="Times New Roman" w:eastAsia="宋体" w:cs="Times New Roman"/>
                <w:b/>
                <w:szCs w:val="20"/>
              </w:rPr>
            </w:pPr>
          </w:p>
        </w:tc>
      </w:tr>
      <w:tr w14:paraId="1E23886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6DB5170">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00B56E01">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4F209CE9">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073EB531">
            <w:pPr>
              <w:jc w:val="center"/>
              <w:rPr>
                <w:rFonts w:ascii="Times New Roman" w:hAnsi="Times New Roman" w:eastAsia="宋体" w:cs="Times New Roman"/>
                <w:b/>
                <w:szCs w:val="20"/>
              </w:rPr>
            </w:pPr>
          </w:p>
        </w:tc>
      </w:tr>
    </w:tbl>
    <w:p w14:paraId="3759656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06A29FB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200ADBA8">
      <w:pPr>
        <w:rPr>
          <w:rFonts w:ascii="宋体" w:hAnsi="Calibri" w:eastAsia="宋体" w:cs="Times New Roman"/>
          <w:szCs w:val="20"/>
        </w:rPr>
      </w:pPr>
    </w:p>
    <w:p w14:paraId="1204A531">
      <w:pPr>
        <w:rPr>
          <w:rFonts w:ascii="宋体" w:hAnsi="Calibri" w:eastAsia="宋体" w:cs="宋体"/>
          <w:b/>
          <w:bCs/>
          <w:color w:val="000000"/>
          <w:sz w:val="28"/>
          <w:szCs w:val="20"/>
        </w:rPr>
        <w:sectPr>
          <w:footerReference r:id="rId34"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684C9114">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26AB37A2">
      <w:pPr>
        <w:spacing w:line="272" w:lineRule="auto"/>
        <w:rPr>
          <w:rFonts w:ascii="Arial"/>
        </w:rPr>
      </w:pPr>
    </w:p>
    <w:p w14:paraId="729629CD">
      <w:pPr>
        <w:spacing w:before="75" w:line="228" w:lineRule="auto"/>
        <w:ind w:left="134"/>
        <w:rPr>
          <w:rFonts w:hint="eastAsia" w:ascii="宋体" w:hAnsi="宋体" w:eastAsia="宋体" w:cs="宋体"/>
          <w:sz w:val="24"/>
          <w:szCs w:val="24"/>
          <w:lang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szCs w:val="24"/>
          <w:u w:val="single"/>
          <w:lang w:eastAsia="zh-CN"/>
        </w:rPr>
        <w:t>济南车桥公司桥壳加工线起重设备改造技改项目</w:t>
      </w:r>
    </w:p>
    <w:p w14:paraId="2C342131">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3B29A300"/>
    <w:p w14:paraId="7ACD41EE">
      <w:pPr>
        <w:spacing w:line="109" w:lineRule="exact"/>
      </w:pPr>
    </w:p>
    <w:tbl>
      <w:tblPr>
        <w:tblStyle w:val="129"/>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1D790A60">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2422D531">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5A06831A">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6FC38BD2">
      <w:pPr>
        <w:keepNext/>
        <w:keepLines/>
        <w:rPr>
          <w:rFonts w:ascii="Times New Roman" w:hAnsi="Times New Roman" w:eastAsia="宋体" w:cs="Times New Roman"/>
          <w:b/>
          <w:bCs/>
          <w:color w:val="000000"/>
          <w:sz w:val="24"/>
          <w:szCs w:val="24"/>
        </w:rPr>
      </w:pPr>
    </w:p>
    <w:p w14:paraId="37B0A662">
      <w:pPr>
        <w:spacing w:before="75" w:line="227" w:lineRule="auto"/>
        <w:ind w:left="135"/>
        <w:rPr>
          <w:rFonts w:ascii="宋体" w:hAnsi="宋体" w:eastAsia="宋体" w:cs="宋体"/>
          <w:spacing w:val="-2"/>
          <w:sz w:val="24"/>
          <w:szCs w:val="24"/>
        </w:rPr>
      </w:pPr>
    </w:p>
    <w:p w14:paraId="2A54F89C">
      <w:pPr>
        <w:spacing w:before="75" w:line="227" w:lineRule="auto"/>
        <w:ind w:left="135"/>
        <w:rPr>
          <w:rFonts w:ascii="宋体" w:hAnsi="宋体" w:eastAsia="宋体" w:cs="宋体"/>
          <w:spacing w:val="-2"/>
          <w:sz w:val="24"/>
          <w:szCs w:val="24"/>
        </w:rPr>
      </w:pPr>
    </w:p>
    <w:p w14:paraId="5B214A50">
      <w:pPr>
        <w:spacing w:before="75" w:line="227" w:lineRule="auto"/>
        <w:ind w:left="135"/>
        <w:rPr>
          <w:rFonts w:eastAsia="宋体"/>
          <w:sz w:val="24"/>
          <w:szCs w:val="24"/>
        </w:rPr>
        <w:sectPr>
          <w:footerReference r:id="rId35" w:type="default"/>
          <w:pgSz w:w="11906" w:h="16839"/>
          <w:pgMar w:top="1431" w:right="1417" w:bottom="1179" w:left="1304" w:header="850" w:footer="992" w:gutter="0"/>
          <w:pgBorders>
            <w:top w:val="none" w:sz="0" w:space="0"/>
            <w:left w:val="none" w:sz="0" w:space="0"/>
            <w:bottom w:val="none" w:sz="0" w:space="0"/>
            <w:right w:val="none" w:sz="0" w:space="0"/>
          </w:pgBorders>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109F4B6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3D2BEC31">
      <w:pPr>
        <w:spacing w:line="240" w:lineRule="exact"/>
        <w:jc w:val="center"/>
        <w:rPr>
          <w:rFonts w:ascii="宋体" w:hAnsi="Calibri" w:eastAsia="宋体" w:cs="Times New Roman"/>
          <w:b/>
          <w:bCs/>
          <w:sz w:val="36"/>
          <w:szCs w:val="20"/>
        </w:rPr>
      </w:pPr>
    </w:p>
    <w:p w14:paraId="514CCF43">
      <w:pPr>
        <w:spacing w:line="360" w:lineRule="auto"/>
        <w:rPr>
          <w:rFonts w:hint="eastAsia" w:ascii="宋体" w:hAnsi="宋体" w:eastAsia="宋体" w:cs="宋体"/>
          <w:sz w:val="24"/>
          <w:szCs w:val="24"/>
          <w:u w:val="single"/>
          <w:lang w:eastAsia="zh-CN"/>
        </w:rPr>
      </w:pPr>
      <w:r>
        <w:rPr>
          <w:rFonts w:hint="eastAsia" w:ascii="宋体" w:hAnsi="宋体" w:eastAsia="宋体" w:cs="Times New Roman"/>
          <w:sz w:val="24"/>
          <w:szCs w:val="20"/>
        </w:rPr>
        <w:t>项目名称：</w:t>
      </w:r>
      <w:r>
        <w:rPr>
          <w:rFonts w:hint="eastAsia" w:ascii="宋体" w:hAnsi="宋体" w:eastAsia="宋体" w:cs="宋体"/>
          <w:sz w:val="24"/>
          <w:szCs w:val="24"/>
          <w:u w:val="single"/>
          <w:lang w:eastAsia="zh-CN"/>
        </w:rPr>
        <w:t>济南车桥公司桥壳加工线起重设备改造技改项目</w:t>
      </w:r>
    </w:p>
    <w:p w14:paraId="0E06A203">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重汽（济南）车桥有限公司</w:t>
      </w:r>
      <w:r>
        <w:rPr>
          <w:rFonts w:hint="eastAsia" w:ascii="宋体" w:hAnsi="宋体" w:eastAsia="宋体" w:cs="Times New Roman"/>
          <w:b/>
          <w:bCs/>
          <w:sz w:val="24"/>
          <w:szCs w:val="20"/>
        </w:rPr>
        <w:t>：</w:t>
      </w:r>
    </w:p>
    <w:p w14:paraId="508E06B5">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14:paraId="7322E12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4FB57E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CD199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84227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92A94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AE1BF2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2ADCB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77DA97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8794D5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C2143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EA9E4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A9C001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726850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22EDB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B9BAA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CFE278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0EEFF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0CD0B9A">
      <w:pPr>
        <w:spacing w:line="360" w:lineRule="auto"/>
        <w:ind w:firstLine="480" w:firstLineChars="200"/>
        <w:rPr>
          <w:rFonts w:ascii="宋体" w:hAnsi="宋体" w:eastAsia="宋体" w:cs="Times New Roman"/>
          <w:sz w:val="24"/>
          <w:szCs w:val="20"/>
          <w:u w:val="single"/>
        </w:rPr>
      </w:pPr>
    </w:p>
    <w:p w14:paraId="6D1E65E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88AF57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0D3461A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B651D94">
      <w:pPr>
        <w:rPr>
          <w:rFonts w:ascii="宋体" w:hAnsi="Calibri" w:eastAsia="宋体" w:cs="宋体"/>
          <w:b/>
          <w:bCs/>
          <w:color w:val="000000"/>
          <w:sz w:val="28"/>
          <w:szCs w:val="20"/>
        </w:rPr>
      </w:pPr>
    </w:p>
    <w:p w14:paraId="2E1F2736">
      <w:pPr>
        <w:pStyle w:val="16"/>
        <w:rPr>
          <w:rFonts w:hAnsi="Calibri" w:eastAsia="宋体" w:cs="宋体"/>
          <w:b/>
          <w:bCs/>
          <w:color w:val="000000"/>
          <w:sz w:val="28"/>
          <w:szCs w:val="20"/>
        </w:rPr>
      </w:pPr>
    </w:p>
    <w:p w14:paraId="2B440379">
      <w:pPr>
        <w:rPr>
          <w:rFonts w:ascii="宋体" w:hAnsi="Calibri" w:eastAsia="宋体" w:cs="宋体"/>
          <w:b/>
          <w:bCs/>
          <w:color w:val="000000"/>
          <w:sz w:val="28"/>
          <w:szCs w:val="20"/>
        </w:rPr>
      </w:pPr>
    </w:p>
    <w:p w14:paraId="6AE2293C">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422B19D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6"/>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1D80D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4A7C3B1E">
            <w:pPr>
              <w:jc w:val="center"/>
              <w:rPr>
                <w:rFonts w:ascii="Times New Roman" w:hAnsi="Times New Roman" w:eastAsia="宋体" w:cs="Times New Roman"/>
                <w:b/>
                <w:szCs w:val="20"/>
              </w:rPr>
            </w:pPr>
          </w:p>
          <w:p w14:paraId="2407061E">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46B9A390">
            <w:pPr>
              <w:rPr>
                <w:rFonts w:ascii="Times New Roman" w:hAnsi="Times New Roman" w:eastAsia="等线" w:cs="Times New Roman"/>
                <w:b/>
                <w:sz w:val="30"/>
                <w:szCs w:val="30"/>
              </w:rPr>
            </w:pPr>
          </w:p>
          <w:p w14:paraId="5D6475AD">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p>
          <w:p w14:paraId="6201D3CB">
            <w:pPr>
              <w:jc w:val="center"/>
              <w:rPr>
                <w:rFonts w:ascii="Times New Roman" w:hAnsi="Times New Roman" w:eastAsia="宋体" w:cs="Times New Roman"/>
                <w:b/>
                <w:szCs w:val="20"/>
              </w:rPr>
            </w:pPr>
          </w:p>
          <w:p w14:paraId="3A64A6A7">
            <w:pPr>
              <w:jc w:val="center"/>
              <w:rPr>
                <w:rFonts w:ascii="Times New Roman" w:hAnsi="Times New Roman" w:eastAsia="宋体" w:cs="Times New Roman"/>
                <w:b/>
                <w:szCs w:val="20"/>
              </w:rPr>
            </w:pPr>
          </w:p>
          <w:p w14:paraId="3F04FA8C">
            <w:pPr>
              <w:jc w:val="center"/>
              <w:rPr>
                <w:rFonts w:hint="eastAsia" w:ascii="宋体" w:hAnsi="宋体" w:eastAsia="宋体" w:cs="宋体"/>
                <w:sz w:val="24"/>
                <w:szCs w:val="24"/>
                <w:u w:val="single"/>
                <w:lang w:eastAsia="zh-CN"/>
              </w:rPr>
            </w:pPr>
            <w:r>
              <w:rPr>
                <w:rFonts w:hint="eastAsia" w:ascii="宋体" w:hAnsi="宋体" w:eastAsia="宋体" w:cs="宋体"/>
                <w:b/>
                <w:szCs w:val="20"/>
              </w:rPr>
              <w:t>项目名称：</w:t>
            </w:r>
            <w:r>
              <w:rPr>
                <w:rFonts w:hint="eastAsia" w:ascii="宋体" w:hAnsi="宋体" w:eastAsia="宋体" w:cs="宋体"/>
                <w:sz w:val="24"/>
                <w:szCs w:val="24"/>
                <w:u w:val="single"/>
                <w:lang w:eastAsia="zh-CN"/>
              </w:rPr>
              <w:t>济南车桥公司桥壳加工线起重设备改造技改项目</w:t>
            </w:r>
          </w:p>
          <w:p w14:paraId="475A0FF8">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2337093E">
            <w:pPr>
              <w:jc w:val="center"/>
              <w:rPr>
                <w:rFonts w:ascii="Times New Roman" w:hAnsi="Times New Roman" w:eastAsia="宋体" w:cs="Times New Roman"/>
                <w:b/>
                <w:szCs w:val="20"/>
              </w:rPr>
            </w:pPr>
            <w:r>
              <w:rPr>
                <w:rFonts w:hint="eastAsia" w:ascii="宋体" w:hAnsi="宋体" w:eastAsia="宋体" w:cs="宋体"/>
                <w:b/>
                <w:szCs w:val="20"/>
              </w:rPr>
              <w:t>地址：</w:t>
            </w:r>
          </w:p>
          <w:p w14:paraId="1D164FBC">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4C8EA1E8">
            <w:pPr>
              <w:jc w:val="center"/>
              <w:rPr>
                <w:rFonts w:ascii="Times New Roman" w:hAnsi="Times New Roman" w:eastAsia="宋体" w:cs="Times New Roman"/>
                <w:b/>
                <w:szCs w:val="20"/>
              </w:rPr>
            </w:pPr>
            <w:r>
              <w:rPr>
                <w:rFonts w:hint="eastAsia" w:ascii="宋体" w:hAnsi="宋体" w:eastAsia="宋体" w:cs="宋体"/>
                <w:b/>
                <w:szCs w:val="20"/>
              </w:rPr>
              <w:t>传真：</w:t>
            </w:r>
          </w:p>
          <w:p w14:paraId="3B1CB946">
            <w:pPr>
              <w:jc w:val="center"/>
              <w:rPr>
                <w:rFonts w:ascii="Times New Roman" w:hAnsi="Times New Roman" w:eastAsia="宋体" w:cs="Times New Roman"/>
                <w:b/>
                <w:szCs w:val="20"/>
              </w:rPr>
            </w:pPr>
          </w:p>
          <w:p w14:paraId="14761059">
            <w:pPr>
              <w:jc w:val="center"/>
              <w:rPr>
                <w:rFonts w:ascii="Times New Roman" w:hAnsi="Times New Roman" w:eastAsia="宋体" w:cs="Times New Roman"/>
                <w:b/>
                <w:szCs w:val="20"/>
              </w:rPr>
            </w:pPr>
          </w:p>
        </w:tc>
      </w:tr>
    </w:tbl>
    <w:p w14:paraId="2173C29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EEB6AAD">
      <w:pPr>
        <w:pStyle w:val="16"/>
      </w:pPr>
    </w:p>
    <w:p w14:paraId="5A71FAD0">
      <w:pPr>
        <w:jc w:val="right"/>
        <w:rPr>
          <w:rFonts w:asciiTheme="minorEastAsia" w:hAnsiTheme="minorEastAsia" w:cstheme="minorEastAsia"/>
          <w:sz w:val="20"/>
          <w:szCs w:val="20"/>
        </w:rPr>
      </w:pPr>
    </w:p>
    <w:p w14:paraId="20604C97">
      <w:pPr>
        <w:jc w:val="right"/>
        <w:rPr>
          <w:rFonts w:asciiTheme="minorEastAsia" w:hAnsiTheme="minorEastAsia" w:cstheme="minorEastAsia"/>
          <w:sz w:val="20"/>
          <w:szCs w:val="20"/>
        </w:rPr>
      </w:pPr>
    </w:p>
    <w:p w14:paraId="11DB8CBC">
      <w:pPr>
        <w:sectPr>
          <w:headerReference r:id="rId37" w:type="first"/>
          <w:footerReference r:id="rId39" w:type="first"/>
          <w:headerReference r:id="rId36" w:type="default"/>
          <w:footerReference r:id="rId38"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21A526D1">
      <w:pPr>
        <w:adjustRightInd/>
        <w:snapToGrid/>
        <w:spacing w:line="240" w:lineRule="auto"/>
        <w:ind w:firstLine="0" w:firstLineChars="0"/>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4</w:t>
      </w:r>
      <w:r>
        <w:rPr>
          <w:rFonts w:hint="eastAsia" w:ascii="Times New Roman" w:hAnsi="Times New Roman" w:eastAsia="宋体" w:cs="Times New Roman"/>
          <w:b/>
          <w:bCs/>
          <w:color w:val="000000"/>
          <w:sz w:val="24"/>
          <w:szCs w:val="24"/>
        </w:rPr>
        <w:t>评分标准</w:t>
      </w:r>
    </w:p>
    <w:tbl>
      <w:tblPr>
        <w:tblStyle w:val="36"/>
        <w:tblW w:w="9825" w:type="dxa"/>
        <w:tblInd w:w="-3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3225"/>
        <w:gridCol w:w="775"/>
        <w:gridCol w:w="5000"/>
      </w:tblGrid>
      <w:tr w14:paraId="5F115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1" w:hRule="atLeast"/>
        </w:trPr>
        <w:tc>
          <w:tcPr>
            <w:tcW w:w="825" w:type="dxa"/>
            <w:tcBorders>
              <w:top w:val="single" w:color="auto" w:sz="4" w:space="0"/>
              <w:left w:val="single" w:color="auto" w:sz="4" w:space="0"/>
              <w:bottom w:val="single" w:color="auto" w:sz="4" w:space="0"/>
              <w:right w:val="single" w:color="auto" w:sz="4" w:space="0"/>
            </w:tcBorders>
            <w:vAlign w:val="center"/>
          </w:tcPr>
          <w:p w14:paraId="689A7570">
            <w:pPr>
              <w:spacing w:line="360" w:lineRule="auto"/>
              <w:ind w:right="-6"/>
              <w:jc w:val="center"/>
              <w:rPr>
                <w:rFonts w:hint="eastAsia" w:ascii="宋体" w:hAnsi="宋体" w:eastAsiaTheme="minorEastAsia"/>
                <w:b/>
                <w:sz w:val="18"/>
                <w:szCs w:val="18"/>
                <w:lang w:val="en-US" w:eastAsia="zh-CN"/>
              </w:rPr>
            </w:pPr>
            <w:r>
              <w:rPr>
                <w:rFonts w:hint="eastAsia" w:ascii="宋体" w:hAnsi="宋体"/>
                <w:b/>
                <w:sz w:val="18"/>
                <w:szCs w:val="18"/>
                <w:lang w:val="en-US" w:eastAsia="zh-CN"/>
              </w:rPr>
              <w:t>一</w:t>
            </w:r>
          </w:p>
        </w:tc>
        <w:tc>
          <w:tcPr>
            <w:tcW w:w="9000" w:type="dxa"/>
            <w:gridSpan w:val="3"/>
            <w:tcBorders>
              <w:top w:val="single" w:color="auto" w:sz="4" w:space="0"/>
              <w:left w:val="single" w:color="auto" w:sz="4" w:space="0"/>
              <w:bottom w:val="single" w:color="auto" w:sz="4" w:space="0"/>
              <w:right w:val="single" w:color="auto" w:sz="4" w:space="0"/>
            </w:tcBorders>
            <w:vAlign w:val="center"/>
          </w:tcPr>
          <w:p w14:paraId="2D90B33B">
            <w:pPr>
              <w:spacing w:line="360" w:lineRule="auto"/>
              <w:ind w:right="-6"/>
              <w:jc w:val="center"/>
              <w:rPr>
                <w:rFonts w:hint="eastAsia" w:ascii="宋体" w:hAnsi="宋体" w:eastAsiaTheme="minorEastAsia"/>
                <w:b/>
                <w:sz w:val="18"/>
                <w:szCs w:val="18"/>
                <w:lang w:val="en-US" w:eastAsia="zh-CN"/>
              </w:rPr>
            </w:pPr>
            <w:r>
              <w:rPr>
                <w:rFonts w:hint="eastAsia" w:ascii="宋体" w:hAnsi="宋体" w:eastAsia="宋体" w:cs="宋体"/>
                <w:b/>
                <w:sz w:val="28"/>
                <w:szCs w:val="28"/>
                <w:lang w:val="en-US" w:eastAsia="zh-CN"/>
              </w:rPr>
              <w:t>技术标</w:t>
            </w:r>
          </w:p>
        </w:tc>
      </w:tr>
      <w:tr w14:paraId="7C4BD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1" w:hRule="atLeast"/>
        </w:trPr>
        <w:tc>
          <w:tcPr>
            <w:tcW w:w="825" w:type="dxa"/>
            <w:tcBorders>
              <w:top w:val="single" w:color="auto" w:sz="4" w:space="0"/>
              <w:left w:val="single" w:color="auto" w:sz="4" w:space="0"/>
              <w:bottom w:val="single" w:color="auto" w:sz="4" w:space="0"/>
              <w:right w:val="single" w:color="auto" w:sz="4" w:space="0"/>
            </w:tcBorders>
            <w:vAlign w:val="center"/>
          </w:tcPr>
          <w:p w14:paraId="2F864A37">
            <w:pPr>
              <w:spacing w:line="360" w:lineRule="auto"/>
              <w:ind w:right="-6"/>
              <w:jc w:val="center"/>
              <w:rPr>
                <w:rFonts w:ascii="宋体" w:hAnsi="Times New Roman" w:eastAsia="宋体"/>
                <w:b/>
                <w:sz w:val="18"/>
                <w:szCs w:val="18"/>
              </w:rPr>
            </w:pPr>
            <w:r>
              <w:rPr>
                <w:rFonts w:hint="eastAsia" w:ascii="宋体" w:hAnsi="宋体"/>
                <w:b/>
                <w:sz w:val="18"/>
                <w:szCs w:val="18"/>
              </w:rPr>
              <w:t>序号</w:t>
            </w:r>
          </w:p>
        </w:tc>
        <w:tc>
          <w:tcPr>
            <w:tcW w:w="3225" w:type="dxa"/>
            <w:tcBorders>
              <w:top w:val="single" w:color="auto" w:sz="4" w:space="0"/>
              <w:left w:val="single" w:color="auto" w:sz="4" w:space="0"/>
              <w:bottom w:val="single" w:color="auto" w:sz="4" w:space="0"/>
              <w:right w:val="single" w:color="auto" w:sz="4" w:space="0"/>
            </w:tcBorders>
            <w:vAlign w:val="center"/>
          </w:tcPr>
          <w:p w14:paraId="2F2CEC4A">
            <w:pPr>
              <w:spacing w:line="360" w:lineRule="auto"/>
              <w:ind w:right="-6"/>
              <w:jc w:val="center"/>
              <w:rPr>
                <w:rFonts w:ascii="宋体" w:hAnsi="Times New Roman" w:eastAsia="宋体"/>
                <w:b/>
                <w:sz w:val="18"/>
                <w:szCs w:val="18"/>
              </w:rPr>
            </w:pPr>
            <w:r>
              <w:rPr>
                <w:rFonts w:hint="eastAsia" w:ascii="宋体" w:hAnsi="宋体"/>
                <w:b/>
                <w:sz w:val="18"/>
                <w:szCs w:val="18"/>
              </w:rPr>
              <w:t>内   容</w:t>
            </w:r>
          </w:p>
        </w:tc>
        <w:tc>
          <w:tcPr>
            <w:tcW w:w="775" w:type="dxa"/>
            <w:tcBorders>
              <w:top w:val="single" w:color="auto" w:sz="4" w:space="0"/>
              <w:left w:val="single" w:color="auto" w:sz="4" w:space="0"/>
              <w:bottom w:val="single" w:color="auto" w:sz="4" w:space="0"/>
              <w:right w:val="single" w:color="auto" w:sz="4" w:space="0"/>
            </w:tcBorders>
            <w:vAlign w:val="center"/>
          </w:tcPr>
          <w:p w14:paraId="70D18B4F">
            <w:pPr>
              <w:spacing w:line="360" w:lineRule="auto"/>
              <w:ind w:right="-6"/>
              <w:jc w:val="center"/>
              <w:rPr>
                <w:rFonts w:ascii="宋体" w:hAnsi="Times New Roman" w:eastAsia="宋体"/>
                <w:b/>
                <w:sz w:val="18"/>
                <w:szCs w:val="18"/>
              </w:rPr>
            </w:pPr>
            <w:r>
              <w:rPr>
                <w:rFonts w:hint="eastAsia" w:ascii="宋体" w:hAnsi="宋体"/>
                <w:b/>
                <w:sz w:val="18"/>
                <w:szCs w:val="18"/>
              </w:rPr>
              <w:t>标准分</w:t>
            </w:r>
          </w:p>
        </w:tc>
        <w:tc>
          <w:tcPr>
            <w:tcW w:w="5000" w:type="dxa"/>
            <w:tcBorders>
              <w:top w:val="single" w:color="auto" w:sz="4" w:space="0"/>
              <w:left w:val="single" w:color="auto" w:sz="4" w:space="0"/>
              <w:bottom w:val="single" w:color="auto" w:sz="4" w:space="0"/>
              <w:right w:val="single" w:color="auto" w:sz="4" w:space="0"/>
            </w:tcBorders>
            <w:vAlign w:val="center"/>
          </w:tcPr>
          <w:p w14:paraId="05457ADB">
            <w:pPr>
              <w:spacing w:line="360" w:lineRule="auto"/>
              <w:ind w:right="-6"/>
              <w:jc w:val="center"/>
              <w:rPr>
                <w:rFonts w:ascii="宋体" w:hAnsi="Times New Roman" w:eastAsia="宋体"/>
                <w:b/>
                <w:sz w:val="18"/>
                <w:szCs w:val="18"/>
              </w:rPr>
            </w:pPr>
            <w:r>
              <w:rPr>
                <w:rFonts w:hint="eastAsia" w:ascii="宋体" w:hAnsi="宋体"/>
                <w:b/>
                <w:sz w:val="18"/>
                <w:szCs w:val="18"/>
              </w:rPr>
              <w:t>评分标准</w:t>
            </w:r>
          </w:p>
        </w:tc>
      </w:tr>
      <w:tr w14:paraId="59387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trPr>
        <w:tc>
          <w:tcPr>
            <w:tcW w:w="825" w:type="dxa"/>
            <w:tcBorders>
              <w:top w:val="single" w:color="auto" w:sz="4" w:space="0"/>
              <w:left w:val="single" w:color="auto" w:sz="4" w:space="0"/>
              <w:bottom w:val="single" w:color="auto" w:sz="4" w:space="0"/>
              <w:right w:val="single" w:color="auto" w:sz="4" w:space="0"/>
            </w:tcBorders>
            <w:vAlign w:val="center"/>
          </w:tcPr>
          <w:p w14:paraId="5150CC46">
            <w:pPr>
              <w:spacing w:line="420" w:lineRule="exact"/>
              <w:jc w:val="center"/>
              <w:rPr>
                <w:rFonts w:ascii="宋体" w:hAnsi="宋体" w:eastAsia="宋体"/>
                <w:szCs w:val="21"/>
              </w:rPr>
            </w:pPr>
            <w:r>
              <w:rPr>
                <w:rFonts w:hint="eastAsia" w:ascii="宋体" w:hAnsi="宋体"/>
              </w:rPr>
              <w:t>1</w:t>
            </w:r>
          </w:p>
        </w:tc>
        <w:tc>
          <w:tcPr>
            <w:tcW w:w="3225" w:type="dxa"/>
            <w:tcBorders>
              <w:top w:val="single" w:color="auto" w:sz="4" w:space="0"/>
              <w:left w:val="single" w:color="auto" w:sz="4" w:space="0"/>
              <w:bottom w:val="single" w:color="auto" w:sz="4" w:space="0"/>
              <w:right w:val="single" w:color="auto" w:sz="4" w:space="0"/>
            </w:tcBorders>
            <w:vAlign w:val="center"/>
          </w:tcPr>
          <w:p w14:paraId="5270FE6C">
            <w:pPr>
              <w:spacing w:line="420" w:lineRule="exact"/>
              <w:rPr>
                <w:rFonts w:ascii="宋体" w:hAnsi="Times New Roman" w:eastAsia="宋体"/>
                <w:szCs w:val="21"/>
              </w:rPr>
            </w:pPr>
            <w:r>
              <w:rPr>
                <w:rFonts w:hint="eastAsia" w:ascii="宋体" w:hAnsi="宋体"/>
                <w:bCs/>
              </w:rPr>
              <w:t>设备制造商装备制造能力、生产设备、加工工艺、完善程度</w:t>
            </w:r>
          </w:p>
        </w:tc>
        <w:tc>
          <w:tcPr>
            <w:tcW w:w="775" w:type="dxa"/>
            <w:tcBorders>
              <w:top w:val="single" w:color="auto" w:sz="4" w:space="0"/>
              <w:left w:val="single" w:color="auto" w:sz="4" w:space="0"/>
              <w:bottom w:val="single" w:color="auto" w:sz="4" w:space="0"/>
              <w:right w:val="single" w:color="auto" w:sz="4" w:space="0"/>
            </w:tcBorders>
            <w:vAlign w:val="center"/>
          </w:tcPr>
          <w:p w14:paraId="3FF4A60F">
            <w:pPr>
              <w:spacing w:line="420" w:lineRule="exact"/>
              <w:jc w:val="center"/>
              <w:rPr>
                <w:rFonts w:hint="default" w:ascii="宋体" w:hAnsi="宋体" w:eastAsia="宋体"/>
                <w:szCs w:val="21"/>
                <w:lang w:val="en-US" w:eastAsia="zh-CN"/>
              </w:rPr>
            </w:pPr>
            <w:r>
              <w:rPr>
                <w:rFonts w:hint="eastAsia" w:ascii="宋体" w:hAnsi="宋体" w:eastAsia="宋体"/>
                <w:lang w:val="en-US" w:eastAsia="zh-CN"/>
              </w:rPr>
              <w:t>10</w:t>
            </w:r>
          </w:p>
        </w:tc>
        <w:tc>
          <w:tcPr>
            <w:tcW w:w="5000" w:type="dxa"/>
            <w:tcBorders>
              <w:top w:val="single" w:color="auto" w:sz="4" w:space="0"/>
              <w:left w:val="single" w:color="auto" w:sz="4" w:space="0"/>
              <w:bottom w:val="single" w:color="auto" w:sz="4" w:space="0"/>
              <w:right w:val="single" w:color="auto" w:sz="4" w:space="0"/>
            </w:tcBorders>
            <w:vAlign w:val="center"/>
          </w:tcPr>
          <w:p w14:paraId="28028FC3">
            <w:pPr>
              <w:spacing w:line="420" w:lineRule="exact"/>
              <w:rPr>
                <w:rFonts w:hint="default" w:ascii="宋体" w:hAnsi="宋体" w:eastAsiaTheme="minorEastAsia"/>
                <w:bCs/>
                <w:szCs w:val="21"/>
                <w:lang w:val="en-US" w:eastAsia="zh-CN"/>
              </w:rPr>
            </w:pPr>
            <w:r>
              <w:rPr>
                <w:rFonts w:hint="eastAsia" w:ascii="宋体" w:hAnsi="宋体"/>
                <w:bCs/>
              </w:rPr>
              <w:t>投标人的装备制造能力、生产设备、加工工艺先进、完善程度，视情况得0-</w:t>
            </w:r>
            <w:r>
              <w:rPr>
                <w:rFonts w:hint="eastAsia" w:ascii="宋体" w:hAnsi="宋体"/>
                <w:bCs/>
                <w:lang w:val="en-US" w:eastAsia="zh-CN"/>
              </w:rPr>
              <w:t>10分。</w:t>
            </w:r>
          </w:p>
        </w:tc>
      </w:tr>
      <w:tr w14:paraId="18566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trPr>
        <w:tc>
          <w:tcPr>
            <w:tcW w:w="825" w:type="dxa"/>
            <w:tcBorders>
              <w:top w:val="single" w:color="auto" w:sz="4" w:space="0"/>
              <w:left w:val="single" w:color="auto" w:sz="4" w:space="0"/>
              <w:bottom w:val="single" w:color="auto" w:sz="4" w:space="0"/>
              <w:right w:val="single" w:color="auto" w:sz="4" w:space="0"/>
            </w:tcBorders>
            <w:vAlign w:val="center"/>
          </w:tcPr>
          <w:p w14:paraId="5024941B">
            <w:pPr>
              <w:spacing w:line="420" w:lineRule="exact"/>
              <w:jc w:val="center"/>
              <w:rPr>
                <w:rFonts w:ascii="宋体" w:hAnsi="宋体" w:eastAsia="宋体"/>
                <w:szCs w:val="21"/>
              </w:rPr>
            </w:pPr>
            <w:r>
              <w:rPr>
                <w:rFonts w:hint="eastAsia" w:ascii="宋体" w:hAnsi="宋体"/>
              </w:rPr>
              <w:t>2</w:t>
            </w:r>
          </w:p>
        </w:tc>
        <w:tc>
          <w:tcPr>
            <w:tcW w:w="3225" w:type="dxa"/>
            <w:tcBorders>
              <w:top w:val="single" w:color="auto" w:sz="4" w:space="0"/>
              <w:left w:val="single" w:color="auto" w:sz="4" w:space="0"/>
              <w:bottom w:val="single" w:color="auto" w:sz="4" w:space="0"/>
              <w:right w:val="single" w:color="auto" w:sz="4" w:space="0"/>
            </w:tcBorders>
            <w:vAlign w:val="center"/>
          </w:tcPr>
          <w:p w14:paraId="5902470A">
            <w:pPr>
              <w:spacing w:line="420" w:lineRule="exact"/>
              <w:rPr>
                <w:rFonts w:ascii="宋体" w:hAnsi="Times New Roman" w:eastAsia="宋体"/>
                <w:bCs/>
                <w:szCs w:val="21"/>
              </w:rPr>
            </w:pPr>
            <w:r>
              <w:rPr>
                <w:rFonts w:hint="eastAsia" w:ascii="宋体" w:hAnsi="宋体"/>
                <w:bCs/>
              </w:rPr>
              <w:t>产品方案技术先进、各系统完善、性能可靠，设备主要核心部件，具备自身技术优势</w:t>
            </w:r>
          </w:p>
        </w:tc>
        <w:tc>
          <w:tcPr>
            <w:tcW w:w="775" w:type="dxa"/>
            <w:tcBorders>
              <w:top w:val="single" w:color="auto" w:sz="4" w:space="0"/>
              <w:left w:val="single" w:color="auto" w:sz="4" w:space="0"/>
              <w:bottom w:val="single" w:color="auto" w:sz="4" w:space="0"/>
              <w:right w:val="single" w:color="auto" w:sz="4" w:space="0"/>
            </w:tcBorders>
            <w:vAlign w:val="center"/>
          </w:tcPr>
          <w:p w14:paraId="71A623C3">
            <w:pPr>
              <w:spacing w:line="420" w:lineRule="exact"/>
              <w:jc w:val="center"/>
              <w:rPr>
                <w:rFonts w:hint="default" w:ascii="宋体" w:hAnsi="宋体" w:eastAsia="宋体"/>
                <w:szCs w:val="21"/>
                <w:lang w:val="en-US" w:eastAsia="zh-CN"/>
              </w:rPr>
            </w:pPr>
            <w:r>
              <w:rPr>
                <w:rFonts w:hint="eastAsia" w:ascii="宋体" w:hAnsi="宋体" w:eastAsia="宋体"/>
                <w:lang w:val="en-US" w:eastAsia="zh-CN"/>
              </w:rPr>
              <w:t>50</w:t>
            </w:r>
          </w:p>
        </w:tc>
        <w:tc>
          <w:tcPr>
            <w:tcW w:w="5000" w:type="dxa"/>
            <w:tcBorders>
              <w:top w:val="single" w:color="auto" w:sz="4" w:space="0"/>
              <w:left w:val="single" w:color="auto" w:sz="4" w:space="0"/>
              <w:bottom w:val="single" w:color="auto" w:sz="4" w:space="0"/>
              <w:right w:val="single" w:color="auto" w:sz="4" w:space="0"/>
            </w:tcBorders>
            <w:vAlign w:val="center"/>
          </w:tcPr>
          <w:p w14:paraId="6EE5214C">
            <w:pPr>
              <w:spacing w:line="420" w:lineRule="exact"/>
              <w:rPr>
                <w:rFonts w:hint="default" w:ascii="宋体" w:hAnsi="宋体" w:eastAsiaTheme="minorEastAsia"/>
                <w:bCs/>
                <w:szCs w:val="21"/>
                <w:lang w:val="en-US" w:eastAsia="zh-CN"/>
              </w:rPr>
            </w:pPr>
            <w:r>
              <w:rPr>
                <w:rFonts w:hint="eastAsia" w:ascii="宋体" w:hAnsi="宋体"/>
                <w:bCs/>
              </w:rPr>
              <w:t>产品方案技术先进、各系统完善、性能可靠，设备主要核心部件，具备自身技术优势，节能环保，视情况得0-</w:t>
            </w:r>
            <w:r>
              <w:rPr>
                <w:rFonts w:hint="eastAsia" w:ascii="宋体" w:hAnsi="宋体"/>
                <w:bCs/>
                <w:lang w:val="en-US" w:eastAsia="zh-CN"/>
              </w:rPr>
              <w:t>50分。</w:t>
            </w:r>
          </w:p>
        </w:tc>
      </w:tr>
      <w:tr w14:paraId="2B404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5" w:hRule="atLeast"/>
        </w:trPr>
        <w:tc>
          <w:tcPr>
            <w:tcW w:w="825" w:type="dxa"/>
            <w:tcBorders>
              <w:top w:val="single" w:color="auto" w:sz="4" w:space="0"/>
              <w:left w:val="single" w:color="auto" w:sz="4" w:space="0"/>
              <w:bottom w:val="single" w:color="auto" w:sz="4" w:space="0"/>
              <w:right w:val="single" w:color="auto" w:sz="4" w:space="0"/>
            </w:tcBorders>
            <w:vAlign w:val="center"/>
          </w:tcPr>
          <w:p w14:paraId="785501C6">
            <w:pPr>
              <w:spacing w:line="420" w:lineRule="exact"/>
              <w:jc w:val="center"/>
              <w:rPr>
                <w:rFonts w:ascii="宋体" w:hAnsi="宋体" w:eastAsia="宋体"/>
                <w:szCs w:val="21"/>
              </w:rPr>
            </w:pPr>
            <w:r>
              <w:rPr>
                <w:rFonts w:hint="eastAsia" w:ascii="宋体" w:hAnsi="宋体"/>
              </w:rPr>
              <w:t>3</w:t>
            </w:r>
          </w:p>
        </w:tc>
        <w:tc>
          <w:tcPr>
            <w:tcW w:w="3225" w:type="dxa"/>
            <w:tcBorders>
              <w:top w:val="single" w:color="auto" w:sz="4" w:space="0"/>
              <w:left w:val="single" w:color="auto" w:sz="4" w:space="0"/>
              <w:bottom w:val="single" w:color="auto" w:sz="4" w:space="0"/>
              <w:right w:val="single" w:color="auto" w:sz="4" w:space="0"/>
            </w:tcBorders>
            <w:vAlign w:val="center"/>
          </w:tcPr>
          <w:p w14:paraId="4BE84032">
            <w:pPr>
              <w:spacing w:line="420" w:lineRule="exact"/>
              <w:rPr>
                <w:rFonts w:ascii="宋体" w:hAnsi="Times New Roman" w:eastAsia="宋体"/>
                <w:bCs/>
                <w:szCs w:val="21"/>
              </w:rPr>
            </w:pPr>
            <w:r>
              <w:rPr>
                <w:rFonts w:hint="eastAsia" w:ascii="宋体" w:hAnsi="宋体"/>
                <w:bCs/>
              </w:rPr>
              <w:t>产品维保</w:t>
            </w:r>
          </w:p>
        </w:tc>
        <w:tc>
          <w:tcPr>
            <w:tcW w:w="775" w:type="dxa"/>
            <w:tcBorders>
              <w:top w:val="single" w:color="auto" w:sz="4" w:space="0"/>
              <w:left w:val="single" w:color="auto" w:sz="4" w:space="0"/>
              <w:bottom w:val="single" w:color="auto" w:sz="4" w:space="0"/>
              <w:right w:val="single" w:color="auto" w:sz="4" w:space="0"/>
            </w:tcBorders>
            <w:vAlign w:val="center"/>
          </w:tcPr>
          <w:p w14:paraId="2195053C">
            <w:pPr>
              <w:spacing w:line="420" w:lineRule="exact"/>
              <w:jc w:val="center"/>
              <w:rPr>
                <w:rFonts w:hint="default" w:ascii="宋体" w:hAnsi="宋体" w:eastAsia="宋体"/>
                <w:szCs w:val="21"/>
                <w:lang w:val="en-US" w:eastAsia="zh-CN"/>
              </w:rPr>
            </w:pPr>
            <w:r>
              <w:rPr>
                <w:rFonts w:hint="eastAsia" w:ascii="宋体" w:hAnsi="宋体" w:eastAsia="宋体"/>
                <w:lang w:val="en-US" w:eastAsia="zh-CN"/>
              </w:rPr>
              <w:t>10</w:t>
            </w:r>
          </w:p>
        </w:tc>
        <w:tc>
          <w:tcPr>
            <w:tcW w:w="5000" w:type="dxa"/>
            <w:tcBorders>
              <w:top w:val="single" w:color="auto" w:sz="4" w:space="0"/>
              <w:left w:val="single" w:color="auto" w:sz="4" w:space="0"/>
              <w:bottom w:val="single" w:color="auto" w:sz="4" w:space="0"/>
              <w:right w:val="single" w:color="auto" w:sz="4" w:space="0"/>
            </w:tcBorders>
            <w:vAlign w:val="center"/>
          </w:tcPr>
          <w:p w14:paraId="61A39D7D">
            <w:pPr>
              <w:spacing w:line="420" w:lineRule="exact"/>
              <w:rPr>
                <w:rFonts w:ascii="宋体" w:hAnsi="宋体" w:eastAsia="宋体"/>
                <w:bCs/>
                <w:szCs w:val="21"/>
              </w:rPr>
            </w:pPr>
            <w:r>
              <w:rPr>
                <w:rFonts w:hint="eastAsia" w:ascii="宋体" w:hAnsi="宋体"/>
                <w:bCs/>
              </w:rPr>
              <w:t>易于维修、操作方便，产品附件配置齐全，质量可靠，设备在使用期内的维护费用，视情况得0-5</w:t>
            </w:r>
            <w:r>
              <w:rPr>
                <w:rFonts w:hint="eastAsia" w:ascii="宋体" w:hAnsi="宋体"/>
                <w:bCs/>
                <w:lang w:val="en-US" w:eastAsia="zh-CN"/>
              </w:rPr>
              <w:t>分。</w:t>
            </w:r>
          </w:p>
        </w:tc>
      </w:tr>
      <w:tr w14:paraId="27DBC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35A42065">
            <w:pPr>
              <w:spacing w:line="420" w:lineRule="exact"/>
              <w:jc w:val="center"/>
              <w:rPr>
                <w:rFonts w:hint="eastAsia" w:ascii="宋体" w:hAnsi="宋体" w:eastAsia="宋体"/>
                <w:szCs w:val="21"/>
                <w:lang w:eastAsia="zh-CN"/>
              </w:rPr>
            </w:pPr>
            <w:r>
              <w:rPr>
                <w:rFonts w:hint="eastAsia" w:ascii="宋体" w:hAnsi="宋体" w:eastAsia="宋体"/>
                <w:lang w:val="en-US" w:eastAsia="zh-CN"/>
              </w:rPr>
              <w:t>4</w:t>
            </w:r>
          </w:p>
        </w:tc>
        <w:tc>
          <w:tcPr>
            <w:tcW w:w="3225" w:type="dxa"/>
            <w:tcBorders>
              <w:top w:val="single" w:color="auto" w:sz="4" w:space="0"/>
              <w:left w:val="single" w:color="auto" w:sz="4" w:space="0"/>
              <w:bottom w:val="single" w:color="auto" w:sz="4" w:space="0"/>
              <w:right w:val="single" w:color="auto" w:sz="4" w:space="0"/>
            </w:tcBorders>
            <w:vAlign w:val="center"/>
          </w:tcPr>
          <w:p w14:paraId="0C518EEB">
            <w:pPr>
              <w:spacing w:line="420" w:lineRule="exact"/>
              <w:rPr>
                <w:rFonts w:ascii="宋体" w:hAnsi="Times New Roman" w:eastAsia="宋体"/>
                <w:szCs w:val="21"/>
              </w:rPr>
            </w:pPr>
            <w:r>
              <w:rPr>
                <w:rFonts w:hint="eastAsia" w:ascii="宋体" w:hAnsi="宋体"/>
              </w:rPr>
              <w:t>计划控制</w:t>
            </w:r>
          </w:p>
        </w:tc>
        <w:tc>
          <w:tcPr>
            <w:tcW w:w="775" w:type="dxa"/>
            <w:tcBorders>
              <w:top w:val="single" w:color="auto" w:sz="4" w:space="0"/>
              <w:left w:val="single" w:color="auto" w:sz="4" w:space="0"/>
              <w:bottom w:val="single" w:color="auto" w:sz="4" w:space="0"/>
              <w:right w:val="single" w:color="auto" w:sz="4" w:space="0"/>
            </w:tcBorders>
            <w:vAlign w:val="center"/>
          </w:tcPr>
          <w:p w14:paraId="318F9E05">
            <w:pPr>
              <w:spacing w:line="420" w:lineRule="exact"/>
              <w:jc w:val="center"/>
              <w:rPr>
                <w:rFonts w:ascii="宋体" w:hAnsi="宋体" w:eastAsia="宋体"/>
                <w:szCs w:val="21"/>
              </w:rPr>
            </w:pPr>
            <w:r>
              <w:rPr>
                <w:rFonts w:hint="eastAsia" w:ascii="宋体" w:hAnsi="宋体"/>
                <w:bCs/>
              </w:rPr>
              <w:t>5</w:t>
            </w:r>
          </w:p>
        </w:tc>
        <w:tc>
          <w:tcPr>
            <w:tcW w:w="5000" w:type="dxa"/>
            <w:tcBorders>
              <w:top w:val="single" w:color="auto" w:sz="4" w:space="0"/>
              <w:left w:val="single" w:color="auto" w:sz="4" w:space="0"/>
              <w:bottom w:val="single" w:color="auto" w:sz="4" w:space="0"/>
              <w:right w:val="single" w:color="auto" w:sz="4" w:space="0"/>
            </w:tcBorders>
            <w:vAlign w:val="center"/>
          </w:tcPr>
          <w:p w14:paraId="6F8166EE">
            <w:pPr>
              <w:spacing w:line="420" w:lineRule="exact"/>
              <w:rPr>
                <w:rFonts w:ascii="宋体" w:hAnsi="Times New Roman" w:eastAsia="宋体"/>
                <w:bCs/>
                <w:szCs w:val="21"/>
              </w:rPr>
            </w:pPr>
            <w:r>
              <w:rPr>
                <w:rFonts w:hint="eastAsia" w:ascii="宋体" w:hAnsi="宋体"/>
                <w:bCs/>
              </w:rPr>
              <w:t>有详细可行的行动计划能保证项目进度，有风险管理。综合评审，自主赋分。</w:t>
            </w:r>
          </w:p>
        </w:tc>
      </w:tr>
      <w:tr w14:paraId="5C208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71B45BC4">
            <w:pPr>
              <w:spacing w:line="420" w:lineRule="exact"/>
              <w:jc w:val="center"/>
              <w:rPr>
                <w:rFonts w:hint="eastAsia" w:ascii="宋体" w:hAnsi="宋体" w:eastAsia="宋体"/>
                <w:szCs w:val="21"/>
                <w:lang w:eastAsia="zh-CN"/>
              </w:rPr>
            </w:pPr>
            <w:r>
              <w:rPr>
                <w:rFonts w:hint="eastAsia" w:ascii="宋体" w:hAnsi="宋体" w:eastAsia="宋体"/>
                <w:lang w:val="en-US" w:eastAsia="zh-CN"/>
              </w:rPr>
              <w:t>5</w:t>
            </w:r>
          </w:p>
        </w:tc>
        <w:tc>
          <w:tcPr>
            <w:tcW w:w="3225" w:type="dxa"/>
            <w:tcBorders>
              <w:top w:val="single" w:color="auto" w:sz="4" w:space="0"/>
              <w:left w:val="single" w:color="auto" w:sz="4" w:space="0"/>
              <w:bottom w:val="single" w:color="auto" w:sz="4" w:space="0"/>
              <w:right w:val="single" w:color="auto" w:sz="4" w:space="0"/>
            </w:tcBorders>
            <w:vAlign w:val="center"/>
          </w:tcPr>
          <w:p w14:paraId="1D080DE7">
            <w:pPr>
              <w:spacing w:line="420" w:lineRule="exact"/>
              <w:rPr>
                <w:rFonts w:ascii="宋体" w:hAnsi="Times New Roman" w:eastAsia="宋体"/>
                <w:szCs w:val="21"/>
              </w:rPr>
            </w:pPr>
            <w:r>
              <w:rPr>
                <w:rFonts w:hint="eastAsia" w:ascii="宋体" w:hAnsi="宋体"/>
              </w:rPr>
              <w:t>业绩</w:t>
            </w:r>
          </w:p>
        </w:tc>
        <w:tc>
          <w:tcPr>
            <w:tcW w:w="775" w:type="dxa"/>
            <w:tcBorders>
              <w:top w:val="single" w:color="auto" w:sz="4" w:space="0"/>
              <w:left w:val="single" w:color="auto" w:sz="4" w:space="0"/>
              <w:bottom w:val="single" w:color="auto" w:sz="4" w:space="0"/>
              <w:right w:val="single" w:color="auto" w:sz="4" w:space="0"/>
            </w:tcBorders>
            <w:vAlign w:val="center"/>
          </w:tcPr>
          <w:p w14:paraId="72D4D5D1">
            <w:pPr>
              <w:spacing w:line="420" w:lineRule="exact"/>
              <w:jc w:val="center"/>
              <w:rPr>
                <w:rFonts w:ascii="宋体" w:hAnsi="宋体" w:eastAsia="宋体"/>
                <w:szCs w:val="21"/>
              </w:rPr>
            </w:pPr>
            <w:r>
              <w:rPr>
                <w:rFonts w:hint="eastAsia" w:ascii="宋体" w:hAnsi="宋体"/>
              </w:rPr>
              <w:t>5</w:t>
            </w:r>
          </w:p>
        </w:tc>
        <w:tc>
          <w:tcPr>
            <w:tcW w:w="5000" w:type="dxa"/>
            <w:tcBorders>
              <w:top w:val="single" w:color="auto" w:sz="4" w:space="0"/>
              <w:left w:val="single" w:color="auto" w:sz="4" w:space="0"/>
              <w:bottom w:val="single" w:color="auto" w:sz="4" w:space="0"/>
              <w:right w:val="single" w:color="auto" w:sz="4" w:space="0"/>
            </w:tcBorders>
            <w:vAlign w:val="center"/>
          </w:tcPr>
          <w:p w14:paraId="30E59A90">
            <w:pPr>
              <w:spacing w:line="420" w:lineRule="exact"/>
              <w:rPr>
                <w:rFonts w:ascii="宋体" w:hAnsi="Times New Roman" w:eastAsia="宋体"/>
                <w:bCs/>
                <w:szCs w:val="21"/>
              </w:rPr>
            </w:pPr>
            <w:r>
              <w:rPr>
                <w:rFonts w:hint="eastAsia" w:ascii="宋体" w:hAnsi="宋体"/>
                <w:bCs/>
              </w:rPr>
              <w:t>最近连续三年有国内或国外知名品牌商用车供货经历和经验或其他大型供货经历，</w:t>
            </w:r>
            <w:r>
              <w:rPr>
                <w:rFonts w:hint="eastAsia" w:ascii="宋体" w:hAnsi="宋体"/>
                <w:bCs/>
                <w:lang w:val="en-US" w:eastAsia="zh-CN"/>
              </w:rPr>
              <w:t>并提供从调试完毕后截至目前实际正常运行时间证明，</w:t>
            </w:r>
            <w:r>
              <w:rPr>
                <w:rFonts w:hint="eastAsia" w:ascii="宋体" w:hAnsi="宋体"/>
                <w:bCs/>
              </w:rPr>
              <w:t>提供3份以上投标同类产品开发合同证明材料，得5分；提供3份得4分；提供2份得3分；提供1份证明材料的，得2分；无证明材料的，不得分。</w:t>
            </w:r>
          </w:p>
        </w:tc>
      </w:tr>
      <w:tr w14:paraId="13B9F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2F131635">
            <w:pPr>
              <w:spacing w:line="420" w:lineRule="exact"/>
              <w:jc w:val="center"/>
              <w:rPr>
                <w:rFonts w:hint="eastAsia" w:ascii="宋体" w:hAnsi="宋体" w:eastAsia="宋体"/>
                <w:szCs w:val="21"/>
                <w:lang w:eastAsia="zh-CN"/>
              </w:rPr>
            </w:pPr>
            <w:r>
              <w:rPr>
                <w:rFonts w:hint="eastAsia" w:ascii="宋体" w:hAnsi="宋体" w:eastAsia="宋体"/>
                <w:lang w:val="en-US" w:eastAsia="zh-CN"/>
              </w:rPr>
              <w:t>6</w:t>
            </w:r>
          </w:p>
        </w:tc>
        <w:tc>
          <w:tcPr>
            <w:tcW w:w="3225" w:type="dxa"/>
            <w:tcBorders>
              <w:top w:val="single" w:color="auto" w:sz="4" w:space="0"/>
              <w:left w:val="single" w:color="auto" w:sz="4" w:space="0"/>
              <w:bottom w:val="single" w:color="auto" w:sz="4" w:space="0"/>
              <w:right w:val="single" w:color="auto" w:sz="4" w:space="0"/>
            </w:tcBorders>
            <w:vAlign w:val="center"/>
          </w:tcPr>
          <w:p w14:paraId="3F7A54E0">
            <w:pPr>
              <w:spacing w:line="420" w:lineRule="exact"/>
              <w:rPr>
                <w:rFonts w:ascii="宋体" w:hAnsi="宋体" w:eastAsia="宋体"/>
                <w:szCs w:val="21"/>
              </w:rPr>
            </w:pPr>
            <w:r>
              <w:rPr>
                <w:rFonts w:hint="eastAsia" w:ascii="宋体" w:hAnsi="宋体"/>
              </w:rPr>
              <w:t>质量保证</w:t>
            </w:r>
          </w:p>
        </w:tc>
        <w:tc>
          <w:tcPr>
            <w:tcW w:w="775" w:type="dxa"/>
            <w:tcBorders>
              <w:top w:val="single" w:color="auto" w:sz="4" w:space="0"/>
              <w:left w:val="single" w:color="auto" w:sz="4" w:space="0"/>
              <w:bottom w:val="single" w:color="auto" w:sz="4" w:space="0"/>
              <w:right w:val="single" w:color="auto" w:sz="4" w:space="0"/>
            </w:tcBorders>
            <w:vAlign w:val="center"/>
          </w:tcPr>
          <w:p w14:paraId="32B9DBD0">
            <w:pPr>
              <w:spacing w:line="420" w:lineRule="exact"/>
              <w:jc w:val="center"/>
              <w:rPr>
                <w:rFonts w:ascii="宋体" w:hAnsi="宋体" w:eastAsia="宋体"/>
                <w:szCs w:val="21"/>
              </w:rPr>
            </w:pPr>
            <w:r>
              <w:rPr>
                <w:rFonts w:hint="eastAsia" w:ascii="宋体" w:hAnsi="宋体"/>
              </w:rPr>
              <w:t>5</w:t>
            </w:r>
          </w:p>
        </w:tc>
        <w:tc>
          <w:tcPr>
            <w:tcW w:w="5000" w:type="dxa"/>
            <w:tcBorders>
              <w:top w:val="single" w:color="auto" w:sz="4" w:space="0"/>
              <w:left w:val="single" w:color="auto" w:sz="4" w:space="0"/>
              <w:bottom w:val="single" w:color="auto" w:sz="4" w:space="0"/>
              <w:right w:val="single" w:color="auto" w:sz="4" w:space="0"/>
            </w:tcBorders>
            <w:vAlign w:val="center"/>
          </w:tcPr>
          <w:p w14:paraId="2AD859BB">
            <w:pPr>
              <w:spacing w:line="420" w:lineRule="exact"/>
              <w:rPr>
                <w:rFonts w:ascii="宋体" w:hAnsi="Times New Roman" w:eastAsia="宋体"/>
                <w:bCs/>
                <w:szCs w:val="21"/>
              </w:rPr>
            </w:pPr>
            <w:r>
              <w:rPr>
                <w:rFonts w:hint="eastAsia" w:ascii="宋体" w:hAnsi="宋体"/>
                <w:bCs/>
              </w:rPr>
              <w:t>具有良好的质量管理体系和完备的检测体系，保证设备造质量符合要求（提供相应证明材料）。根据提供的资料综合评审，自主赋分。</w:t>
            </w:r>
          </w:p>
        </w:tc>
      </w:tr>
      <w:tr w14:paraId="0E898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1FAF08AD">
            <w:pPr>
              <w:spacing w:line="420" w:lineRule="exact"/>
              <w:jc w:val="center"/>
              <w:rPr>
                <w:rFonts w:hint="default" w:ascii="宋体" w:hAnsi="宋体" w:eastAsia="宋体"/>
                <w:lang w:val="en-US" w:eastAsia="zh-CN"/>
              </w:rPr>
            </w:pPr>
            <w:r>
              <w:rPr>
                <w:rFonts w:hint="eastAsia" w:ascii="宋体" w:hAnsi="宋体" w:eastAsia="宋体"/>
                <w:lang w:val="en-US" w:eastAsia="zh-CN"/>
              </w:rPr>
              <w:t>7</w:t>
            </w:r>
          </w:p>
        </w:tc>
        <w:tc>
          <w:tcPr>
            <w:tcW w:w="3225" w:type="dxa"/>
            <w:tcBorders>
              <w:top w:val="single" w:color="auto" w:sz="4" w:space="0"/>
              <w:left w:val="single" w:color="auto" w:sz="4" w:space="0"/>
              <w:bottom w:val="single" w:color="auto" w:sz="4" w:space="0"/>
              <w:right w:val="single" w:color="auto" w:sz="4" w:space="0"/>
            </w:tcBorders>
            <w:vAlign w:val="center"/>
          </w:tcPr>
          <w:p w14:paraId="1E226D3F">
            <w:pPr>
              <w:spacing w:line="420" w:lineRule="exact"/>
              <w:rPr>
                <w:rFonts w:hint="eastAsia" w:ascii="宋体" w:hAnsi="宋体" w:eastAsiaTheme="minorEastAsia"/>
                <w:lang w:val="en-US" w:eastAsia="zh-CN"/>
              </w:rPr>
            </w:pPr>
            <w:r>
              <w:rPr>
                <w:rFonts w:hint="eastAsia"/>
                <w:szCs w:val="21"/>
                <w:highlight w:val="none"/>
                <w:lang w:val="en-US" w:eastAsia="zh-CN"/>
              </w:rPr>
              <w:t>技术偏离</w:t>
            </w:r>
          </w:p>
        </w:tc>
        <w:tc>
          <w:tcPr>
            <w:tcW w:w="775" w:type="dxa"/>
            <w:tcBorders>
              <w:top w:val="single" w:color="auto" w:sz="4" w:space="0"/>
              <w:left w:val="single" w:color="auto" w:sz="4" w:space="0"/>
              <w:bottom w:val="single" w:color="auto" w:sz="4" w:space="0"/>
              <w:right w:val="single" w:color="auto" w:sz="4" w:space="0"/>
            </w:tcBorders>
            <w:vAlign w:val="center"/>
          </w:tcPr>
          <w:p w14:paraId="054D0DF9">
            <w:pPr>
              <w:spacing w:line="420" w:lineRule="exact"/>
              <w:jc w:val="center"/>
              <w:rPr>
                <w:rFonts w:hint="eastAsia" w:ascii="宋体" w:hAnsi="宋体" w:eastAsiaTheme="minorEastAsia"/>
                <w:lang w:val="en-US" w:eastAsia="zh-CN"/>
              </w:rPr>
            </w:pPr>
            <w:r>
              <w:rPr>
                <w:rFonts w:hint="eastAsia" w:ascii="宋体" w:hAnsi="宋体"/>
                <w:lang w:val="en-US" w:eastAsia="zh-CN"/>
              </w:rPr>
              <w:t>5</w:t>
            </w:r>
          </w:p>
        </w:tc>
        <w:tc>
          <w:tcPr>
            <w:tcW w:w="5000" w:type="dxa"/>
            <w:tcBorders>
              <w:top w:val="single" w:color="auto" w:sz="4" w:space="0"/>
              <w:left w:val="single" w:color="auto" w:sz="4" w:space="0"/>
              <w:bottom w:val="single" w:color="auto" w:sz="4" w:space="0"/>
              <w:right w:val="single" w:color="auto" w:sz="4" w:space="0"/>
            </w:tcBorders>
            <w:vAlign w:val="center"/>
          </w:tcPr>
          <w:p w14:paraId="2ADD2F77">
            <w:pPr>
              <w:spacing w:line="420" w:lineRule="exact"/>
              <w:rPr>
                <w:rFonts w:hint="eastAsia" w:ascii="宋体" w:hAnsi="宋体"/>
                <w:bCs/>
              </w:rPr>
            </w:pPr>
            <w:r>
              <w:rPr>
                <w:rFonts w:hint="eastAsia"/>
                <w:szCs w:val="21"/>
                <w:lang w:val="en-US" w:eastAsia="zh-CN"/>
              </w:rPr>
              <w:t>技术方案优于招标要求的加分，不满足招标要求的减分，综合评议，自主赋分</w:t>
            </w:r>
            <w:r>
              <w:rPr>
                <w:rFonts w:hint="eastAsia"/>
                <w:szCs w:val="21"/>
              </w:rPr>
              <w:t>。</w:t>
            </w:r>
          </w:p>
        </w:tc>
      </w:tr>
      <w:tr w14:paraId="163DA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0" w:hRule="atLeast"/>
        </w:trPr>
        <w:tc>
          <w:tcPr>
            <w:tcW w:w="825" w:type="dxa"/>
            <w:tcBorders>
              <w:top w:val="single" w:color="auto" w:sz="4" w:space="0"/>
              <w:left w:val="single" w:color="auto" w:sz="4" w:space="0"/>
              <w:bottom w:val="single" w:color="auto" w:sz="4" w:space="0"/>
              <w:right w:val="single" w:color="auto" w:sz="4" w:space="0"/>
            </w:tcBorders>
            <w:vAlign w:val="center"/>
          </w:tcPr>
          <w:p w14:paraId="535CA4F3">
            <w:pPr>
              <w:spacing w:line="420" w:lineRule="exact"/>
              <w:jc w:val="center"/>
              <w:rPr>
                <w:rFonts w:hint="eastAsia" w:ascii="宋体" w:hAnsi="宋体" w:eastAsia="宋体"/>
                <w:szCs w:val="21"/>
                <w:lang w:eastAsia="zh-CN"/>
              </w:rPr>
            </w:pPr>
            <w:r>
              <w:rPr>
                <w:rFonts w:hint="eastAsia" w:ascii="宋体" w:hAnsi="宋体" w:eastAsia="宋体"/>
                <w:lang w:val="en-US" w:eastAsia="zh-CN"/>
              </w:rPr>
              <w:t>8</w:t>
            </w:r>
          </w:p>
        </w:tc>
        <w:tc>
          <w:tcPr>
            <w:tcW w:w="3225" w:type="dxa"/>
            <w:tcBorders>
              <w:top w:val="single" w:color="auto" w:sz="4" w:space="0"/>
              <w:left w:val="single" w:color="auto" w:sz="4" w:space="0"/>
              <w:bottom w:val="single" w:color="auto" w:sz="4" w:space="0"/>
              <w:right w:val="single" w:color="auto" w:sz="4" w:space="0"/>
            </w:tcBorders>
            <w:vAlign w:val="center"/>
          </w:tcPr>
          <w:p w14:paraId="4916F9C2">
            <w:pPr>
              <w:spacing w:line="420" w:lineRule="exact"/>
              <w:rPr>
                <w:rFonts w:hint="default" w:ascii="宋体" w:hAnsi="宋体" w:eastAsia="宋体"/>
                <w:szCs w:val="21"/>
                <w:lang w:val="en-US" w:eastAsia="zh-CN"/>
              </w:rPr>
            </w:pPr>
            <w:r>
              <w:rPr>
                <w:rFonts w:hint="eastAsia" w:ascii="宋体" w:hAnsi="宋体" w:eastAsia="宋体"/>
                <w:lang w:val="en-US" w:eastAsia="zh-CN"/>
              </w:rPr>
              <w:t>项目交期</w:t>
            </w:r>
          </w:p>
        </w:tc>
        <w:tc>
          <w:tcPr>
            <w:tcW w:w="775" w:type="dxa"/>
            <w:tcBorders>
              <w:top w:val="single" w:color="auto" w:sz="4" w:space="0"/>
              <w:left w:val="single" w:color="auto" w:sz="4" w:space="0"/>
              <w:bottom w:val="single" w:color="auto" w:sz="4" w:space="0"/>
              <w:right w:val="single" w:color="auto" w:sz="4" w:space="0"/>
            </w:tcBorders>
            <w:vAlign w:val="center"/>
          </w:tcPr>
          <w:p w14:paraId="5EFCF364">
            <w:pPr>
              <w:spacing w:line="420" w:lineRule="exact"/>
              <w:jc w:val="center"/>
              <w:rPr>
                <w:rFonts w:hint="default" w:ascii="宋体" w:hAnsi="宋体" w:eastAsia="宋体"/>
                <w:szCs w:val="21"/>
                <w:lang w:val="en-US" w:eastAsia="zh-CN"/>
              </w:rPr>
            </w:pPr>
            <w:r>
              <w:rPr>
                <w:rFonts w:hint="eastAsia" w:ascii="宋体" w:hAnsi="宋体" w:eastAsia="宋体"/>
                <w:lang w:val="en-US" w:eastAsia="zh-CN"/>
              </w:rPr>
              <w:t>10</w:t>
            </w:r>
          </w:p>
        </w:tc>
        <w:tc>
          <w:tcPr>
            <w:tcW w:w="5000" w:type="dxa"/>
            <w:tcBorders>
              <w:top w:val="single" w:color="auto" w:sz="4" w:space="0"/>
              <w:left w:val="single" w:color="auto" w:sz="4" w:space="0"/>
              <w:bottom w:val="single" w:color="auto" w:sz="4" w:space="0"/>
              <w:right w:val="single" w:color="auto" w:sz="4" w:space="0"/>
            </w:tcBorders>
            <w:vAlign w:val="center"/>
          </w:tcPr>
          <w:p w14:paraId="3AA69791">
            <w:pPr>
              <w:tabs>
                <w:tab w:val="left" w:pos="7854"/>
              </w:tabs>
              <w:rPr>
                <w:rFonts w:hint="default" w:ascii="宋体" w:hAnsi="Times New Roman" w:eastAsiaTheme="minorEastAsia"/>
                <w:bCs/>
                <w:szCs w:val="21"/>
                <w:lang w:val="en-US" w:eastAsia="zh-CN"/>
              </w:rPr>
            </w:pPr>
            <w:r>
              <w:rPr>
                <w:rFonts w:hint="eastAsia"/>
                <w:szCs w:val="21"/>
              </w:rPr>
              <w:t>可以提前完成项目交货，视情况得</w:t>
            </w:r>
            <w:r>
              <w:rPr>
                <w:szCs w:val="21"/>
              </w:rPr>
              <w:t>0-</w:t>
            </w:r>
            <w:r>
              <w:rPr>
                <w:rFonts w:hint="eastAsia"/>
                <w:szCs w:val="21"/>
                <w:lang w:val="en-US" w:eastAsia="zh-CN"/>
              </w:rPr>
              <w:t>10分。</w:t>
            </w:r>
          </w:p>
        </w:tc>
      </w:tr>
    </w:tbl>
    <w:p w14:paraId="71FD8EA3">
      <w:pPr>
        <w:keepNext w:val="0"/>
        <w:keepLines w:val="0"/>
        <w:suppressLineNumbers w:val="0"/>
        <w:spacing w:before="0" w:beforeAutospacing="0" w:after="0" w:afterAutospacing="0" w:line="420" w:lineRule="exact"/>
        <w:ind w:left="0" w:right="0"/>
        <w:rPr>
          <w:rFonts w:hint="eastAsia" w:ascii="宋体" w:hAnsi="宋体" w:eastAsia="宋体" w:cs="宋体"/>
          <w:sz w:val="18"/>
          <w:szCs w:val="18"/>
        </w:rPr>
      </w:pPr>
    </w:p>
    <w:tbl>
      <w:tblPr>
        <w:tblStyle w:val="36"/>
        <w:tblW w:w="9825" w:type="dxa"/>
        <w:tblInd w:w="-3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9000"/>
      </w:tblGrid>
      <w:tr w14:paraId="337C2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1545FF4E">
            <w:pPr>
              <w:spacing w:line="420" w:lineRule="exact"/>
              <w:jc w:val="center"/>
              <w:rPr>
                <w:rFonts w:hint="eastAsia" w:ascii="宋体" w:hAnsi="宋体" w:eastAsiaTheme="minorEastAsia"/>
                <w:lang w:val="en-US" w:eastAsia="zh-CN"/>
              </w:rPr>
            </w:pPr>
            <w:r>
              <w:rPr>
                <w:rFonts w:hint="eastAsia" w:ascii="宋体" w:hAnsi="宋体" w:eastAsia="宋体" w:cs="宋体"/>
                <w:b/>
                <w:sz w:val="28"/>
                <w:szCs w:val="28"/>
                <w:lang w:val="en-US" w:eastAsia="zh-CN"/>
              </w:rPr>
              <w:t>二</w:t>
            </w:r>
          </w:p>
        </w:tc>
        <w:tc>
          <w:tcPr>
            <w:tcW w:w="9000" w:type="dxa"/>
            <w:tcBorders>
              <w:top w:val="single" w:color="auto" w:sz="4" w:space="0"/>
              <w:left w:val="single" w:color="auto" w:sz="4" w:space="0"/>
              <w:bottom w:val="single" w:color="auto" w:sz="4" w:space="0"/>
              <w:right w:val="single" w:color="auto" w:sz="4" w:space="0"/>
            </w:tcBorders>
            <w:vAlign w:val="center"/>
          </w:tcPr>
          <w:p w14:paraId="47D8EEEC">
            <w:pPr>
              <w:spacing w:line="420" w:lineRule="exact"/>
              <w:rPr>
                <w:rFonts w:hint="eastAsia" w:ascii="宋体" w:hAnsi="宋体" w:eastAsiaTheme="minorEastAsia"/>
                <w:bCs/>
                <w:lang w:val="en-US" w:eastAsia="zh-CN"/>
              </w:rPr>
            </w:pPr>
            <w:r>
              <w:rPr>
                <w:rFonts w:hint="eastAsia" w:ascii="宋体" w:hAnsi="宋体" w:eastAsia="宋体" w:cs="宋体"/>
                <w:b/>
                <w:sz w:val="28"/>
                <w:szCs w:val="28"/>
                <w:lang w:val="en-US" w:eastAsia="zh-CN"/>
              </w:rPr>
              <w:t>商务标</w:t>
            </w:r>
          </w:p>
        </w:tc>
      </w:tr>
      <w:tr w14:paraId="3709A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trPr>
        <w:tc>
          <w:tcPr>
            <w:tcW w:w="9825" w:type="dxa"/>
            <w:gridSpan w:val="2"/>
            <w:tcBorders>
              <w:top w:val="single" w:color="auto" w:sz="4" w:space="0"/>
              <w:left w:val="single" w:color="auto" w:sz="4" w:space="0"/>
              <w:bottom w:val="single" w:color="auto" w:sz="4" w:space="0"/>
              <w:right w:val="single" w:color="auto" w:sz="4" w:space="0"/>
            </w:tcBorders>
            <w:vAlign w:val="center"/>
          </w:tcPr>
          <w:p w14:paraId="76F0C017">
            <w:pPr>
              <w:spacing w:line="360" w:lineRule="auto"/>
              <w:rPr>
                <w:rFonts w:ascii="宋体" w:hAnsi="宋体" w:eastAsia="宋体" w:cs="Times New Roman"/>
                <w:bCs/>
                <w:sz w:val="24"/>
                <w:szCs w:val="24"/>
              </w:rPr>
            </w:pPr>
            <w:r>
              <w:rPr>
                <w:rFonts w:hint="eastAsia" w:ascii="宋体" w:hAnsi="宋体" w:eastAsia="宋体" w:cs="Times New Roman"/>
                <w:bCs/>
                <w:sz w:val="24"/>
                <w:szCs w:val="24"/>
              </w:rPr>
              <w:t xml:space="preserve">评标基准价： </w:t>
            </w:r>
          </w:p>
          <w:p w14:paraId="1423C499">
            <w:pPr>
              <w:spacing w:line="360" w:lineRule="auto"/>
              <w:rPr>
                <w:rFonts w:ascii="宋体" w:hAnsi="宋体" w:eastAsia="宋体" w:cs="Times New Roman"/>
                <w:bCs/>
                <w:sz w:val="24"/>
                <w:szCs w:val="24"/>
              </w:rPr>
            </w:pPr>
            <w:r>
              <w:rPr>
                <w:rFonts w:hint="eastAsia" w:ascii="宋体" w:hAnsi="宋体" w:eastAsia="宋体" w:cs="Times New Roman"/>
                <w:bCs/>
                <w:sz w:val="24"/>
                <w:szCs w:val="24"/>
              </w:rPr>
              <w:t>1、评标基准价为所有合理有效的最终投标报价的最低价。</w:t>
            </w:r>
          </w:p>
          <w:p w14:paraId="1A5C3902">
            <w:pPr>
              <w:spacing w:line="360" w:lineRule="auto"/>
              <w:rPr>
                <w:rFonts w:ascii="宋体" w:hAnsi="宋体" w:eastAsia="宋体" w:cs="Times New Roman"/>
                <w:bCs/>
                <w:sz w:val="24"/>
                <w:szCs w:val="24"/>
              </w:rPr>
            </w:pPr>
            <w:r>
              <w:rPr>
                <w:rFonts w:hint="eastAsia" w:ascii="宋体" w:hAnsi="宋体" w:eastAsia="宋体" w:cs="Times New Roman"/>
                <w:bCs/>
                <w:sz w:val="24"/>
                <w:szCs w:val="24"/>
              </w:rPr>
              <w:t>2、有效的评标基准价得</w:t>
            </w:r>
            <w:r>
              <w:rPr>
                <w:rFonts w:hint="eastAsia" w:ascii="宋体" w:hAnsi="宋体" w:eastAsia="宋体" w:cs="Times New Roman"/>
                <w:bCs/>
                <w:sz w:val="24"/>
                <w:szCs w:val="24"/>
                <w:lang w:val="en-US" w:eastAsia="zh-CN"/>
              </w:rPr>
              <w:t>100</w:t>
            </w:r>
            <w:r>
              <w:rPr>
                <w:rFonts w:hint="eastAsia" w:ascii="宋体" w:hAnsi="宋体" w:eastAsia="宋体" w:cs="Times New Roman"/>
                <w:bCs/>
                <w:sz w:val="24"/>
                <w:szCs w:val="24"/>
              </w:rPr>
              <w:t>分；其他投标人的价格得分按下列公式计算：投标价格得分=</w:t>
            </w:r>
            <w:r>
              <w:rPr>
                <w:rFonts w:hint="eastAsia" w:ascii="宋体" w:hAnsi="宋体" w:eastAsia="宋体" w:cs="Times New Roman"/>
                <w:bCs/>
                <w:sz w:val="24"/>
                <w:szCs w:val="24"/>
                <w:lang w:val="en-US" w:eastAsia="zh-CN"/>
              </w:rPr>
              <w:t>100</w:t>
            </w:r>
            <w:r>
              <w:rPr>
                <w:rFonts w:hint="eastAsia" w:ascii="宋体" w:hAnsi="宋体" w:eastAsia="宋体" w:cs="Times New Roman"/>
                <w:bCs/>
                <w:sz w:val="24"/>
                <w:szCs w:val="24"/>
              </w:rPr>
              <w:t>×（评标基准价/投标报价）。</w:t>
            </w:r>
          </w:p>
          <w:p w14:paraId="66245EE5">
            <w:pPr>
              <w:spacing w:line="420" w:lineRule="exact"/>
              <w:rPr>
                <w:rFonts w:hint="eastAsia" w:ascii="宋体" w:hAnsi="宋体"/>
                <w:bCs/>
              </w:rPr>
            </w:pPr>
            <w:r>
              <w:rPr>
                <w:rFonts w:hint="eastAsia" w:ascii="宋体" w:hAnsi="宋体" w:eastAsia="宋体" w:cs="Times New Roman"/>
                <w:bCs/>
                <w:sz w:val="24"/>
                <w:szCs w:val="24"/>
              </w:rPr>
              <w:t>注：得分值取小数点后两位，不足一个百分点的，按照四舍五入法计算。</w:t>
            </w:r>
            <w:r>
              <w:rPr>
                <w:rFonts w:ascii="宋体" w:hAnsi="宋体" w:eastAsia="宋体" w:cs="Times New Roman"/>
                <w:bCs/>
                <w:sz w:val="24"/>
                <w:szCs w:val="24"/>
              </w:rPr>
              <w:t xml:space="preserve"> </w:t>
            </w:r>
          </w:p>
        </w:tc>
      </w:tr>
      <w:tr w14:paraId="0246F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trPr>
        <w:tc>
          <w:tcPr>
            <w:tcW w:w="825" w:type="dxa"/>
            <w:tcBorders>
              <w:top w:val="single" w:color="auto" w:sz="4" w:space="0"/>
              <w:left w:val="single" w:color="auto" w:sz="4" w:space="0"/>
              <w:bottom w:val="single" w:color="auto" w:sz="4" w:space="0"/>
              <w:right w:val="single" w:color="auto" w:sz="4" w:space="0"/>
            </w:tcBorders>
            <w:vAlign w:val="center"/>
          </w:tcPr>
          <w:p w14:paraId="3AD3D741">
            <w:pPr>
              <w:spacing w:line="420" w:lineRule="exact"/>
              <w:jc w:val="center"/>
              <w:rPr>
                <w:rFonts w:hint="eastAsia" w:ascii="宋体" w:hAnsi="宋体" w:eastAsiaTheme="minorEastAsia"/>
                <w:lang w:val="en-US" w:eastAsia="zh-CN"/>
              </w:rPr>
            </w:pPr>
            <w:r>
              <w:rPr>
                <w:rFonts w:hint="eastAsia" w:ascii="宋体" w:hAnsi="宋体" w:eastAsia="宋体" w:cs="宋体"/>
                <w:b/>
                <w:sz w:val="28"/>
                <w:szCs w:val="28"/>
                <w:lang w:val="en-US" w:eastAsia="zh-CN"/>
              </w:rPr>
              <w:t>三</w:t>
            </w:r>
          </w:p>
        </w:tc>
        <w:tc>
          <w:tcPr>
            <w:tcW w:w="9000" w:type="dxa"/>
            <w:tcBorders>
              <w:top w:val="single" w:color="auto" w:sz="4" w:space="0"/>
              <w:left w:val="single" w:color="auto" w:sz="4" w:space="0"/>
              <w:bottom w:val="single" w:color="auto" w:sz="4" w:space="0"/>
              <w:right w:val="single" w:color="auto" w:sz="4" w:space="0"/>
            </w:tcBorders>
            <w:vAlign w:val="center"/>
          </w:tcPr>
          <w:p w14:paraId="2D6648F3">
            <w:pPr>
              <w:spacing w:line="420" w:lineRule="exact"/>
              <w:rPr>
                <w:rFonts w:hint="eastAsia" w:ascii="宋体" w:hAnsi="宋体"/>
                <w:bCs/>
                <w:lang w:val="en-US" w:eastAsia="zh-CN"/>
              </w:rPr>
            </w:pPr>
            <w:r>
              <w:rPr>
                <w:rFonts w:hint="eastAsia" w:ascii="宋体" w:hAnsi="宋体" w:eastAsia="宋体" w:cs="宋体"/>
                <w:b/>
                <w:sz w:val="28"/>
                <w:szCs w:val="28"/>
                <w:lang w:val="en-US" w:eastAsia="zh-CN"/>
              </w:rPr>
              <w:t>综合得分</w:t>
            </w:r>
          </w:p>
        </w:tc>
      </w:tr>
      <w:tr w14:paraId="55B19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trPr>
        <w:tc>
          <w:tcPr>
            <w:tcW w:w="9825" w:type="dxa"/>
            <w:gridSpan w:val="2"/>
            <w:tcBorders>
              <w:top w:val="single" w:color="auto" w:sz="4" w:space="0"/>
              <w:left w:val="single" w:color="auto" w:sz="4" w:space="0"/>
              <w:bottom w:val="single" w:color="auto" w:sz="4" w:space="0"/>
              <w:right w:val="single" w:color="auto" w:sz="4" w:space="0"/>
            </w:tcBorders>
            <w:vAlign w:val="center"/>
          </w:tcPr>
          <w:p w14:paraId="451CC3BD">
            <w:pPr>
              <w:spacing w:line="420" w:lineRule="exact"/>
              <w:rPr>
                <w:rFonts w:hint="eastAsia" w:ascii="宋体" w:hAnsi="宋体"/>
                <w:bCs/>
              </w:rPr>
            </w:pPr>
            <w:r>
              <w:rPr>
                <w:rFonts w:hint="eastAsia" w:ascii="宋体" w:hAnsi="Times New Roman" w:eastAsia="宋体" w:cs="Times New Roman"/>
                <w:b/>
                <w:bCs w:val="0"/>
                <w:sz w:val="24"/>
                <w:szCs w:val="24"/>
                <w:lang w:val="en-US" w:eastAsia="zh-CN"/>
              </w:rPr>
              <w:t>综合得分=技术分×30%＋商务标得分×70%</w:t>
            </w:r>
          </w:p>
        </w:tc>
      </w:tr>
    </w:tbl>
    <w:p w14:paraId="3607FADB">
      <w:pPr>
        <w:rPr>
          <w:rFonts w:hint="eastAsia" w:hAnsi="宋体" w:eastAsia="宋体" w:cs="宋体"/>
          <w:b/>
          <w:bCs/>
          <w:color w:val="000000"/>
          <w:sz w:val="24"/>
          <w:szCs w:val="24"/>
        </w:rPr>
      </w:pPr>
      <w:r>
        <w:rPr>
          <w:rFonts w:hint="eastAsia" w:hAnsi="宋体" w:eastAsia="宋体" w:cs="宋体"/>
          <w:b/>
          <w:bCs/>
          <w:color w:val="000000"/>
          <w:sz w:val="24"/>
          <w:szCs w:val="24"/>
        </w:rPr>
        <w:br w:type="page"/>
      </w:r>
    </w:p>
    <w:p w14:paraId="674973FD">
      <w:pPr>
        <w:pStyle w:val="16"/>
        <w:outlineLvl w:val="2"/>
        <w:rPr>
          <w:rFonts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14:paraId="6A1B645D">
      <w:pPr>
        <w:pStyle w:val="16"/>
        <w:rPr>
          <w:rFonts w:eastAsia="宋体"/>
        </w:rPr>
      </w:pPr>
    </w:p>
    <w:p w14:paraId="772BE18D">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2E723F57">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49B2247F">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0E90AA07">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4"/>
                    <a:stretch>
                      <a:fillRect/>
                    </a:stretch>
                  </pic:blipFill>
                  <pic:spPr>
                    <a:xfrm>
                      <a:off x="0" y="0"/>
                      <a:ext cx="5760085" cy="2933377"/>
                    </a:xfrm>
                    <a:prstGeom prst="rect">
                      <a:avLst/>
                    </a:prstGeom>
                  </pic:spPr>
                </pic:pic>
              </a:graphicData>
            </a:graphic>
          </wp:inline>
        </w:drawing>
      </w:r>
    </w:p>
    <w:p w14:paraId="62FCF19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12895C28">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5"/>
                    <a:stretch>
                      <a:fillRect/>
                    </a:stretch>
                  </pic:blipFill>
                  <pic:spPr>
                    <a:xfrm>
                      <a:off x="0" y="0"/>
                      <a:ext cx="5760085" cy="2766707"/>
                    </a:xfrm>
                    <a:prstGeom prst="rect">
                      <a:avLst/>
                    </a:prstGeom>
                  </pic:spPr>
                </pic:pic>
              </a:graphicData>
            </a:graphic>
          </wp:inline>
        </w:drawing>
      </w:r>
    </w:p>
    <w:p w14:paraId="0222440E">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4444A6C">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6"/>
                    <a:stretch>
                      <a:fillRect/>
                    </a:stretch>
                  </pic:blipFill>
                  <pic:spPr>
                    <a:xfrm>
                      <a:off x="0" y="0"/>
                      <a:ext cx="5760085" cy="2870054"/>
                    </a:xfrm>
                    <a:prstGeom prst="rect">
                      <a:avLst/>
                    </a:prstGeom>
                  </pic:spPr>
                </pic:pic>
              </a:graphicData>
            </a:graphic>
          </wp:inline>
        </w:drawing>
      </w:r>
    </w:p>
    <w:p w14:paraId="18BBC81F">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C5948F3">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7"/>
                    <a:stretch>
                      <a:fillRect/>
                    </a:stretch>
                  </pic:blipFill>
                  <pic:spPr>
                    <a:xfrm>
                      <a:off x="0" y="0"/>
                      <a:ext cx="5760085" cy="2853375"/>
                    </a:xfrm>
                    <a:prstGeom prst="rect">
                      <a:avLst/>
                    </a:prstGeom>
                  </pic:spPr>
                </pic:pic>
              </a:graphicData>
            </a:graphic>
          </wp:inline>
        </w:drawing>
      </w:r>
    </w:p>
    <w:p w14:paraId="1A86C69A">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6D9DA3F0">
      <w:pPr>
        <w:pStyle w:val="16"/>
      </w:pPr>
    </w:p>
    <w:p w14:paraId="62502CA5">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48"/>
                    <a:stretch>
                      <a:fillRect/>
                    </a:stretch>
                  </pic:blipFill>
                  <pic:spPr>
                    <a:xfrm>
                      <a:off x="0" y="0"/>
                      <a:ext cx="5760085" cy="2810122"/>
                    </a:xfrm>
                    <a:prstGeom prst="rect">
                      <a:avLst/>
                    </a:prstGeom>
                  </pic:spPr>
                </pic:pic>
              </a:graphicData>
            </a:graphic>
          </wp:inline>
        </w:drawing>
      </w:r>
    </w:p>
    <w:p w14:paraId="0C8AF391">
      <w:pPr>
        <w:pStyle w:val="16"/>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49"/>
                    <a:stretch>
                      <a:fillRect/>
                    </a:stretch>
                  </pic:blipFill>
                  <pic:spPr>
                    <a:xfrm>
                      <a:off x="0" y="0"/>
                      <a:ext cx="5760085" cy="2820042"/>
                    </a:xfrm>
                    <a:prstGeom prst="rect">
                      <a:avLst/>
                    </a:prstGeom>
                  </pic:spPr>
                </pic:pic>
              </a:graphicData>
            </a:graphic>
          </wp:inline>
        </w:drawing>
      </w:r>
    </w:p>
    <w:p w14:paraId="029CD28C">
      <w:pPr>
        <w:pStyle w:val="16"/>
      </w:pPr>
    </w:p>
    <w:p w14:paraId="43377269">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14:paraId="0C127C3F">
      <w:pPr>
        <w:snapToGrid/>
        <w:spacing w:before="0" w:after="0" w:line="240" w:lineRule="auto"/>
        <w:ind w:left="0" w:right="0" w:firstLine="0"/>
        <w:jc w:val="both"/>
        <w:rPr>
          <w:rFonts w:hint="default"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p>
    <w:p w14:paraId="1E135B90">
      <w:pPr>
        <w:rPr>
          <w:rFonts w:ascii="宋体" w:hAnsi="宋体" w:eastAsia="宋体" w:cs="宋体"/>
          <w:b/>
          <w:bCs/>
          <w:color w:val="000000"/>
          <w:sz w:val="24"/>
          <w:szCs w:val="24"/>
        </w:rPr>
      </w:pPr>
      <w:r>
        <w:rPr>
          <w:rFonts w:hint="eastAsia" w:ascii="宋体" w:hAnsi="宋体" w:eastAsia="宋体" w:cs="宋体"/>
          <w:b/>
          <w:bCs/>
          <w:i w:val="0"/>
          <w:strike w:val="0"/>
          <w:color w:val="000000"/>
          <w:sz w:val="24"/>
          <w:szCs w:val="28"/>
          <w:highlight w:val="yellow"/>
          <w:u w:val="none"/>
          <w:lang w:val="en-US" w:eastAsia="zh-CN"/>
        </w:rPr>
        <w:t>2.</w:t>
      </w:r>
      <w:r>
        <w:rPr>
          <w:rFonts w:hint="eastAsia" w:hAnsi="宋体" w:eastAsia="宋体" w:cs="宋体"/>
          <w:b/>
          <w:bCs/>
          <w:i w:val="0"/>
          <w:strike w:val="0"/>
          <w:color w:val="000000"/>
          <w:sz w:val="24"/>
          <w:szCs w:val="28"/>
          <w:highlight w:val="yellow"/>
          <w:u w:val="none"/>
          <w:lang w:val="en-US" w:eastAsia="zh-CN"/>
        </w:rPr>
        <w:t>配套能力</w:t>
      </w:r>
      <w:r>
        <w:rPr>
          <w:rFonts w:hint="eastAsia" w:hAnsi="宋体" w:eastAsia="宋体" w:cs="宋体"/>
          <w:b/>
          <w:bCs/>
          <w:color w:val="000000"/>
          <w:sz w:val="24"/>
          <w:szCs w:val="28"/>
          <w:highlight w:val="yellow"/>
        </w:rPr>
        <w:t>“供货类别”</w:t>
      </w:r>
      <w:r>
        <w:rPr>
          <w:rFonts w:hint="eastAsia" w:hAnsi="宋体" w:eastAsia="宋体" w:cs="宋体"/>
          <w:b/>
          <w:bCs/>
          <w:color w:val="000000"/>
          <w:sz w:val="24"/>
          <w:szCs w:val="28"/>
          <w:highlight w:val="yellow"/>
          <w:lang w:val="en-US" w:eastAsia="zh-CN"/>
        </w:rPr>
        <w:t>选</w:t>
      </w:r>
      <w:r>
        <w:rPr>
          <w:rFonts w:hint="eastAsia" w:hAnsi="宋体" w:eastAsia="宋体" w:cs="宋体"/>
          <w:b/>
          <w:bCs/>
          <w:color w:val="000000"/>
          <w:sz w:val="24"/>
          <w:szCs w:val="28"/>
          <w:highlight w:val="yellow"/>
        </w:rPr>
        <w:t>“直管单位非生产招标→工艺设备→工艺设备”，业务主管部门为“工艺研究院”。</w:t>
      </w:r>
      <w:r>
        <w:rPr>
          <w:rFonts w:hint="eastAsia" w:ascii="宋体" w:hAnsi="宋体" w:eastAsia="宋体" w:cs="宋体"/>
          <w:b/>
          <w:bCs/>
          <w:color w:val="000000"/>
          <w:sz w:val="24"/>
          <w:szCs w:val="24"/>
        </w:rPr>
        <w:br w:type="page"/>
      </w:r>
    </w:p>
    <w:p w14:paraId="4A1CC95C">
      <w:pPr>
        <w:pStyle w:val="16"/>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0E755DAD">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4"/>
          <w:rFonts w:hint="eastAsia" w:ascii="宋体" w:hAnsi="宋体" w:eastAsia="宋体" w:cs="宋体"/>
          <w:sz w:val="24"/>
          <w:szCs w:val="24"/>
        </w:rPr>
        <w:t>https://ecaitong.sinotruk.com:8012/</w:t>
      </w:r>
      <w:r>
        <w:rPr>
          <w:rStyle w:val="44"/>
          <w:rFonts w:hint="eastAsia" w:ascii="宋体" w:hAnsi="宋体" w:eastAsia="宋体" w:cs="宋体"/>
          <w:sz w:val="24"/>
          <w:szCs w:val="24"/>
        </w:rPr>
        <w:fldChar w:fldCharType="end"/>
      </w:r>
    </w:p>
    <w:p w14:paraId="2BDBB899">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71FBE5D0">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54BAC53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4855382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273D7B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4CDAB8D9">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0"/>
                    <a:stretch>
                      <a:fillRect/>
                    </a:stretch>
                  </pic:blipFill>
                  <pic:spPr>
                    <a:xfrm>
                      <a:off x="0" y="0"/>
                      <a:ext cx="5760085" cy="2269864"/>
                    </a:xfrm>
                    <a:prstGeom prst="rect">
                      <a:avLst/>
                    </a:prstGeom>
                  </pic:spPr>
                </pic:pic>
              </a:graphicData>
            </a:graphic>
          </wp:inline>
        </w:drawing>
      </w:r>
    </w:p>
    <w:p w14:paraId="0E0D3F05"/>
    <w:p w14:paraId="197C5D0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693AAE1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7C9F972E">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1"/>
                    <a:stretch>
                      <a:fillRect/>
                    </a:stretch>
                  </pic:blipFill>
                  <pic:spPr>
                    <a:xfrm>
                      <a:off x="0" y="0"/>
                      <a:ext cx="5760085" cy="2125673"/>
                    </a:xfrm>
                    <a:prstGeom prst="rect">
                      <a:avLst/>
                    </a:prstGeom>
                  </pic:spPr>
                </pic:pic>
              </a:graphicData>
            </a:graphic>
          </wp:inline>
        </w:drawing>
      </w:r>
    </w:p>
    <w:p w14:paraId="308FD09A">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BECA4">
      <w:pPr>
        <w:pStyle w:val="16"/>
      </w:pPr>
      <w:r>
        <w:rPr>
          <w:rFonts w:hint="eastAsia" w:hAnsi="宋体" w:eastAsia="宋体" w:cs="宋体"/>
          <w:color w:val="000000"/>
          <w:sz w:val="24"/>
          <w:szCs w:val="28"/>
          <w:highlight w:val="yellow"/>
        </w:rPr>
        <w:t>注意：系统内的投标报价单位为“万元”，如开标现场发现填错报价，即直接淘汰。</w:t>
      </w:r>
    </w:p>
    <w:p w14:paraId="143222F1">
      <w:pPr>
        <w:pStyle w:val="7"/>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2"/>
                    <a:stretch>
                      <a:fillRect/>
                    </a:stretch>
                  </pic:blipFill>
                  <pic:spPr>
                    <a:xfrm>
                      <a:off x="0" y="0"/>
                      <a:ext cx="5490210" cy="2669498"/>
                    </a:xfrm>
                    <a:prstGeom prst="rect">
                      <a:avLst/>
                    </a:prstGeom>
                  </pic:spPr>
                </pic:pic>
              </a:graphicData>
            </a:graphic>
          </wp:inline>
        </w:drawing>
      </w:r>
    </w:p>
    <w:p w14:paraId="7947DA7C">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50414992">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2C049740">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0FA3CABE">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3"/>
                    <a:stretch>
                      <a:fillRect/>
                    </a:stretch>
                  </pic:blipFill>
                  <pic:spPr>
                    <a:xfrm>
                      <a:off x="0" y="0"/>
                      <a:ext cx="5490210" cy="1992743"/>
                    </a:xfrm>
                    <a:prstGeom prst="rect">
                      <a:avLst/>
                    </a:prstGeom>
                  </pic:spPr>
                </pic:pic>
              </a:graphicData>
            </a:graphic>
          </wp:inline>
        </w:drawing>
      </w:r>
    </w:p>
    <w:p w14:paraId="0BDB0D4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4EBD92A0">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D40DF93">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53D3C2A">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4511D3C">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6D9FD456">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768A169">
      <w:pPr>
        <w:pStyle w:val="7"/>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4"/>
                    <a:stretch>
                      <a:fillRect/>
                    </a:stretch>
                  </pic:blipFill>
                  <pic:spPr>
                    <a:xfrm>
                      <a:off x="0" y="0"/>
                      <a:ext cx="5490210" cy="2544669"/>
                    </a:xfrm>
                    <a:prstGeom prst="rect">
                      <a:avLst/>
                    </a:prstGeom>
                  </pic:spPr>
                </pic:pic>
              </a:graphicData>
            </a:graphic>
          </wp:inline>
        </w:drawing>
      </w:r>
    </w:p>
    <w:p w14:paraId="13D260AA">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740D7CE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41401C24">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555D2E62">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5"/>
                    <a:stretch>
                      <a:fillRect/>
                    </a:stretch>
                  </pic:blipFill>
                  <pic:spPr>
                    <a:xfrm>
                      <a:off x="0" y="0"/>
                      <a:ext cx="5760085" cy="1956600"/>
                    </a:xfrm>
                    <a:prstGeom prst="rect">
                      <a:avLst/>
                    </a:prstGeom>
                  </pic:spPr>
                </pic:pic>
              </a:graphicData>
            </a:graphic>
          </wp:inline>
        </w:drawing>
      </w:r>
    </w:p>
    <w:p w14:paraId="0BC6922A">
      <w:pPr>
        <w:pStyle w:val="16"/>
        <w:rPr>
          <w:rFonts w:hAnsi="宋体" w:eastAsia="宋体" w:cs="Times New Roman"/>
          <w:b/>
          <w:color w:val="000000"/>
          <w:sz w:val="24"/>
          <w:szCs w:val="24"/>
        </w:rPr>
      </w:pPr>
    </w:p>
    <w:sectPr>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ED7059">
    <w:pPr>
      <w:pStyle w:val="2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5FAAB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7A5FAAB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530EC">
    <w:pPr>
      <w:pStyle w:val="21"/>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BBF8F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21BBF8F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86044F">
    <w:pPr>
      <w:pStyle w:val="21"/>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A5DB2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60A5DB2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5129D0">
    <w:pPr>
      <w:pStyle w:val="21"/>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0E110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670E110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741B78">
    <w:pPr>
      <w:pStyle w:val="21"/>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1F7CF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7F1F7CF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7D9BBC">
    <w:pPr>
      <w:pStyle w:val="21"/>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BC5BB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26BC5BB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9F4A8B">
    <w:pPr>
      <w:pStyle w:val="21"/>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E5E78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6AE5E78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39D3A8">
    <w:pPr>
      <w:spacing w:line="182" w:lineRule="auto"/>
      <w:ind w:left="6866"/>
      <w:rPr>
        <w:rFonts w:ascii="宋体" w:hAnsi="宋体" w:eastAsia="宋体" w:cs="宋体"/>
        <w:sz w:val="18"/>
        <w:szCs w:val="18"/>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DB504">
    <w:pPr>
      <w:spacing w:line="182" w:lineRule="auto"/>
      <w:ind w:left="6866"/>
      <w:rPr>
        <w:rFonts w:ascii="宋体" w:hAnsi="宋体" w:eastAsia="宋体" w:cs="宋体"/>
        <w:sz w:val="18"/>
        <w:szCs w:val="18"/>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A6671C">
    <w:pPr>
      <w:pStyle w:val="21"/>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5B71F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0B5B71F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50E9C8">
    <w:pPr>
      <w:pStyle w:val="21"/>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8A6E5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438A6E5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055FD3">
    <w:pPr>
      <w:pStyle w:val="21"/>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6AB87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706AB87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A0BE1">
    <w:pPr>
      <w:pStyle w:val="21"/>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969C6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29969C6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68</w:t>
                    </w:r>
                    <w:r>
                      <w:rPr>
                        <w:rFonts w:hint="eastAsia"/>
                        <w:sz w:val="18"/>
                      </w:rP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D4E0F">
    <w:pPr>
      <w:spacing w:line="182" w:lineRule="auto"/>
      <w:ind w:left="6866"/>
      <w:rPr>
        <w:rFonts w:ascii="宋体" w:hAnsi="宋体" w:eastAsia="宋体" w:cs="宋体"/>
        <w:sz w:val="18"/>
        <w:szCs w:val="18"/>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DECFD2">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53ACDA">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847F1C">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2D285C">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6175AD">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62D96">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5AE01C">
                          <w:pPr>
                            <w:pStyle w:val="21"/>
                          </w:pPr>
                          <w:r>
                            <w:fldChar w:fldCharType="begin"/>
                          </w:r>
                          <w:r>
                            <w:instrText xml:space="preserve"> PAGE  \* MERGEFORMAT </w:instrText>
                          </w:r>
                          <w:r>
                            <w:fldChar w:fldCharType="separate"/>
                          </w:r>
                          <w:r>
                            <w:t>69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6B5AE01C">
                    <w:pPr>
                      <w:pStyle w:val="21"/>
                    </w:pPr>
                    <w:r>
                      <w:fldChar w:fldCharType="begin"/>
                    </w:r>
                    <w:r>
                      <w:instrText xml:space="preserve"> PAGE  \* MERGEFORMAT </w:instrText>
                    </w:r>
                    <w:r>
                      <w:fldChar w:fldCharType="separate"/>
                    </w:r>
                    <w:r>
                      <w:t>69</w:t>
                    </w:r>
                    <w: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FA97DD">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0CD3D9">
                          <w:pPr>
                            <w:pStyle w:val="21"/>
                          </w:pPr>
                          <w:r>
                            <w:fldChar w:fldCharType="begin"/>
                          </w:r>
                          <w:r>
                            <w:instrText xml:space="preserve"> PAGE  \* MERGEFORMAT </w:instrText>
                          </w:r>
                          <w:r>
                            <w:fldChar w:fldCharType="separate"/>
                          </w:r>
                          <w:r>
                            <w:t>78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720CD3D9">
                    <w:pPr>
                      <w:pStyle w:val="21"/>
                    </w:pPr>
                    <w:r>
                      <w:fldChar w:fldCharType="begin"/>
                    </w:r>
                    <w:r>
                      <w:instrText xml:space="preserve"> PAGE  \* MERGEFORMAT </w:instrText>
                    </w:r>
                    <w:r>
                      <w:fldChar w:fldCharType="separate"/>
                    </w:r>
                    <w:r>
                      <w:t>78</w:t>
                    </w:r>
                    <w:r>
                      <w:fldChar w:fldCharType="end"/>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971B87">
    <w:pPr>
      <w:pStyle w:val="21"/>
      <w:jc w:val="cente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BF61A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52BF61A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C09552">
    <w:pPr>
      <w:pStyle w:val="21"/>
      <w:tabs>
        <w:tab w:val="clear" w:pos="4153"/>
      </w:tabs>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9766A5">
                          <w:pPr>
                            <w:pStyle w:val="21"/>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0C9766A5">
                    <w:pPr>
                      <w:pStyle w:val="21"/>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C28366">
    <w:pPr>
      <w:pStyle w:val="21"/>
      <w:jc w:val="center"/>
    </w:pPr>
  </w:p>
  <w:p w14:paraId="043BC1C7">
    <w:pPr>
      <w:pStyle w:val="21"/>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BCBB46">
    <w:pPr>
      <w:pStyle w:val="21"/>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CA822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17CA822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12</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7C9D5B">
    <w:pPr>
      <w:pStyle w:val="21"/>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8D42F8">
    <w:pPr>
      <w:pStyle w:val="21"/>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194690">
                          <w:pPr>
                            <w:pStyle w:val="21"/>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52194690">
                    <w:pPr>
                      <w:pStyle w:val="21"/>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A7CE80">
    <w:pPr>
      <w:pStyle w:val="21"/>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DC1306">
                          <w:pPr>
                            <w:pStyle w:val="21"/>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7ADC1306">
                    <w:pPr>
                      <w:pStyle w:val="21"/>
                    </w:pPr>
                    <w:r>
                      <w:fldChar w:fldCharType="begin"/>
                    </w:r>
                    <w:r>
                      <w:instrText xml:space="preserve"> PAGE  \* MERGEFORMAT </w:instrText>
                    </w:r>
                    <w:r>
                      <w:fldChar w:fldCharType="separate"/>
                    </w:r>
                    <w:r>
                      <w:t>51</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00BCE3">
    <w:pPr>
      <w:pStyle w:val="21"/>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71A57D">
                          <w:pPr>
                            <w:pStyle w:val="21"/>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3F71A57D">
                    <w:pPr>
                      <w:pStyle w:val="21"/>
                    </w:pPr>
                    <w:r>
                      <w:fldChar w:fldCharType="begin"/>
                    </w:r>
                    <w:r>
                      <w:instrText xml:space="preserve"> PAGE  \* MERGEFORMAT </w:instrText>
                    </w:r>
                    <w:r>
                      <w:fldChar w:fldCharType="separate"/>
                    </w:r>
                    <w:r>
                      <w:t>35</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F885BD">
    <w:pPr>
      <w:pStyle w:val="22"/>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E5DC52">
    <w:pPr>
      <w:pStyle w:val="22"/>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D426D1">
    <w:pPr>
      <w:pStyle w:val="22"/>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429CE6">
    <w:pPr>
      <w:pStyle w:val="22"/>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E7DD5D">
    <w:pPr>
      <w:pStyle w:val="22"/>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57534A">
    <w:pPr>
      <w:pStyle w:val="22"/>
      <w:pBdr>
        <w:bottom w:val="none" w:color="auto" w:sz="0" w:space="1"/>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78BADE">
    <w:pPr>
      <w:pStyle w:val="22"/>
    </w:pPr>
  </w:p>
  <w:p w14:paraId="14C3BDD1">
    <w:pPr>
      <w:pStyle w:val="22"/>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303A87">
    <w:pPr>
      <w:pStyle w:val="2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4C11FA9C"/>
    <w:multiLevelType w:val="singleLevel"/>
    <w:tmpl w:val="4C11FA9C"/>
    <w:lvl w:ilvl="0" w:tentative="0">
      <w:start w:val="1"/>
      <w:numFmt w:val="decimal"/>
      <w:suff w:val="space"/>
      <w:lvlText w:val="(%1)"/>
      <w:lvlJc w:val="left"/>
      <w:pPr>
        <w:ind w:left="425" w:hanging="425"/>
      </w:pPr>
      <w:rPr>
        <w:rFonts w:hint="default"/>
      </w:rPr>
    </w:lvl>
  </w:abstractNum>
  <w:abstractNum w:abstractNumId="8">
    <w:nsid w:val="6E8C6948"/>
    <w:multiLevelType w:val="singleLevel"/>
    <w:tmpl w:val="6E8C6948"/>
    <w:lvl w:ilvl="0" w:tentative="0">
      <w:start w:val="1"/>
      <w:numFmt w:val="chineseCounting"/>
      <w:suff w:val="space"/>
      <w:lvlText w:val="第%1部分"/>
      <w:lvlJc w:val="left"/>
      <w:rPr>
        <w:rFonts w:hint="eastAsia"/>
      </w:rPr>
    </w:lvl>
  </w:abstractNum>
  <w:abstractNum w:abstractNumId="9">
    <w:nsid w:val="7A612DE2"/>
    <w:multiLevelType w:val="singleLevel"/>
    <w:tmpl w:val="7A612DE2"/>
    <w:lvl w:ilvl="0" w:tentative="0">
      <w:start w:val="2"/>
      <w:numFmt w:val="decimal"/>
      <w:lvlText w:val="%1."/>
      <w:lvlJc w:val="left"/>
      <w:pPr>
        <w:tabs>
          <w:tab w:val="left" w:pos="312"/>
        </w:tabs>
      </w:pPr>
    </w:lvl>
  </w:abstractNum>
  <w:num w:numId="1">
    <w:abstractNumId w:val="8"/>
  </w:num>
  <w:num w:numId="2">
    <w:abstractNumId w:val="0"/>
  </w:num>
  <w:num w:numId="3">
    <w:abstractNumId w:val="9"/>
  </w:num>
  <w:num w:numId="4">
    <w:abstractNumId w:val="4"/>
  </w:num>
  <w:num w:numId="5">
    <w:abstractNumId w:val="2"/>
  </w:num>
  <w:num w:numId="6">
    <w:abstractNumId w:val="6"/>
  </w:num>
  <w:num w:numId="7">
    <w:abstractNumId w:val="1"/>
  </w:num>
  <w:num w:numId="8">
    <w:abstractNumId w:val="5"/>
  </w:num>
  <w:num w:numId="9">
    <w:abstractNumId w:val="3"/>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YxM2MwOTcxY2Q2MGFhODg4Y2JlMjcwYTY1MjdkMTIifQ=="/>
    <w:docVar w:name="KSO_WPS_MARK_KEY" w:val="288773bf-0df4-413a-9f38-c1906dd68f40"/>
  </w:docVars>
  <w:rsids>
    <w:rsidRoot w:val="0056018A"/>
    <w:rsid w:val="000139F5"/>
    <w:rsid w:val="00022B06"/>
    <w:rsid w:val="00036836"/>
    <w:rsid w:val="00044EF2"/>
    <w:rsid w:val="00047AD5"/>
    <w:rsid w:val="0005777A"/>
    <w:rsid w:val="00065382"/>
    <w:rsid w:val="00080223"/>
    <w:rsid w:val="000A5309"/>
    <w:rsid w:val="000D6A51"/>
    <w:rsid w:val="000E3EA5"/>
    <w:rsid w:val="000F45A3"/>
    <w:rsid w:val="001C1EE3"/>
    <w:rsid w:val="001C713C"/>
    <w:rsid w:val="001D75B9"/>
    <w:rsid w:val="00200F05"/>
    <w:rsid w:val="00220056"/>
    <w:rsid w:val="002626ED"/>
    <w:rsid w:val="00265A40"/>
    <w:rsid w:val="00282FDE"/>
    <w:rsid w:val="0029130A"/>
    <w:rsid w:val="003176C9"/>
    <w:rsid w:val="003A4540"/>
    <w:rsid w:val="003B4D7D"/>
    <w:rsid w:val="003E0AB3"/>
    <w:rsid w:val="00401C42"/>
    <w:rsid w:val="004076DE"/>
    <w:rsid w:val="00460AFB"/>
    <w:rsid w:val="00470130"/>
    <w:rsid w:val="00483B0A"/>
    <w:rsid w:val="004B5126"/>
    <w:rsid w:val="004F7838"/>
    <w:rsid w:val="00503391"/>
    <w:rsid w:val="00552960"/>
    <w:rsid w:val="0056018A"/>
    <w:rsid w:val="00567344"/>
    <w:rsid w:val="005829DC"/>
    <w:rsid w:val="005C0B4E"/>
    <w:rsid w:val="005C421F"/>
    <w:rsid w:val="005F16F0"/>
    <w:rsid w:val="0065185D"/>
    <w:rsid w:val="00680629"/>
    <w:rsid w:val="00686C52"/>
    <w:rsid w:val="006F1414"/>
    <w:rsid w:val="00724233"/>
    <w:rsid w:val="007432BF"/>
    <w:rsid w:val="007525BF"/>
    <w:rsid w:val="007800DC"/>
    <w:rsid w:val="007838AA"/>
    <w:rsid w:val="00783D5E"/>
    <w:rsid w:val="00785FD6"/>
    <w:rsid w:val="007B212D"/>
    <w:rsid w:val="00806A61"/>
    <w:rsid w:val="00824BFD"/>
    <w:rsid w:val="008453B3"/>
    <w:rsid w:val="008D3B56"/>
    <w:rsid w:val="008D5CEF"/>
    <w:rsid w:val="009360F9"/>
    <w:rsid w:val="00964F00"/>
    <w:rsid w:val="009B511E"/>
    <w:rsid w:val="009E0F5E"/>
    <w:rsid w:val="00A21EB2"/>
    <w:rsid w:val="00A31561"/>
    <w:rsid w:val="00A54E95"/>
    <w:rsid w:val="00A80564"/>
    <w:rsid w:val="00A960B2"/>
    <w:rsid w:val="00AE41BD"/>
    <w:rsid w:val="00AE6633"/>
    <w:rsid w:val="00B01FF1"/>
    <w:rsid w:val="00B72516"/>
    <w:rsid w:val="00B92C97"/>
    <w:rsid w:val="00BA3C70"/>
    <w:rsid w:val="00BB4E42"/>
    <w:rsid w:val="00BB6DCB"/>
    <w:rsid w:val="00BF0E19"/>
    <w:rsid w:val="00C01073"/>
    <w:rsid w:val="00C61417"/>
    <w:rsid w:val="00C855F6"/>
    <w:rsid w:val="00C92F53"/>
    <w:rsid w:val="00CD5223"/>
    <w:rsid w:val="00CE5010"/>
    <w:rsid w:val="00CE6E17"/>
    <w:rsid w:val="00D0528A"/>
    <w:rsid w:val="00D11B37"/>
    <w:rsid w:val="00D408EF"/>
    <w:rsid w:val="00D5145C"/>
    <w:rsid w:val="00D64DAE"/>
    <w:rsid w:val="00D729A1"/>
    <w:rsid w:val="00DB5225"/>
    <w:rsid w:val="00DD1E5E"/>
    <w:rsid w:val="00DE6417"/>
    <w:rsid w:val="00E16182"/>
    <w:rsid w:val="00E1627A"/>
    <w:rsid w:val="00E34C35"/>
    <w:rsid w:val="00E650A8"/>
    <w:rsid w:val="00E878B4"/>
    <w:rsid w:val="00EB3D00"/>
    <w:rsid w:val="00EE6D96"/>
    <w:rsid w:val="00F01A28"/>
    <w:rsid w:val="00F71720"/>
    <w:rsid w:val="00F9257D"/>
    <w:rsid w:val="00FA062A"/>
    <w:rsid w:val="00FD1083"/>
    <w:rsid w:val="00FE040F"/>
    <w:rsid w:val="00FE42B3"/>
    <w:rsid w:val="01081B3E"/>
    <w:rsid w:val="014832F2"/>
    <w:rsid w:val="014D51C1"/>
    <w:rsid w:val="01576403"/>
    <w:rsid w:val="01714809"/>
    <w:rsid w:val="01BB2C67"/>
    <w:rsid w:val="01C52478"/>
    <w:rsid w:val="022F2C26"/>
    <w:rsid w:val="02567262"/>
    <w:rsid w:val="027408EE"/>
    <w:rsid w:val="02963F39"/>
    <w:rsid w:val="0296734E"/>
    <w:rsid w:val="02B037A6"/>
    <w:rsid w:val="02B3095A"/>
    <w:rsid w:val="02BA7274"/>
    <w:rsid w:val="02F676C8"/>
    <w:rsid w:val="03251978"/>
    <w:rsid w:val="0325718A"/>
    <w:rsid w:val="032A08BF"/>
    <w:rsid w:val="036F6C29"/>
    <w:rsid w:val="03D567D9"/>
    <w:rsid w:val="041078B8"/>
    <w:rsid w:val="042921B6"/>
    <w:rsid w:val="043B72BB"/>
    <w:rsid w:val="04461EC1"/>
    <w:rsid w:val="04504B3F"/>
    <w:rsid w:val="04831DF5"/>
    <w:rsid w:val="04A3012C"/>
    <w:rsid w:val="04AD02B8"/>
    <w:rsid w:val="04DE51C8"/>
    <w:rsid w:val="04DF17D4"/>
    <w:rsid w:val="05000C0B"/>
    <w:rsid w:val="05174255"/>
    <w:rsid w:val="05412745"/>
    <w:rsid w:val="05491761"/>
    <w:rsid w:val="05515CC6"/>
    <w:rsid w:val="055D755A"/>
    <w:rsid w:val="058761A0"/>
    <w:rsid w:val="05A351AD"/>
    <w:rsid w:val="05F9748A"/>
    <w:rsid w:val="06266F78"/>
    <w:rsid w:val="063E7B7A"/>
    <w:rsid w:val="06582413"/>
    <w:rsid w:val="067E33B8"/>
    <w:rsid w:val="06AA3F72"/>
    <w:rsid w:val="06E82FCB"/>
    <w:rsid w:val="06F34B95"/>
    <w:rsid w:val="072858CC"/>
    <w:rsid w:val="07571DAC"/>
    <w:rsid w:val="07645CFB"/>
    <w:rsid w:val="07FC1127"/>
    <w:rsid w:val="08493425"/>
    <w:rsid w:val="0886328A"/>
    <w:rsid w:val="088A5513"/>
    <w:rsid w:val="08DD171B"/>
    <w:rsid w:val="08E64121"/>
    <w:rsid w:val="08EE34FB"/>
    <w:rsid w:val="091D420B"/>
    <w:rsid w:val="093D4FB7"/>
    <w:rsid w:val="093E2A38"/>
    <w:rsid w:val="0942017F"/>
    <w:rsid w:val="09480908"/>
    <w:rsid w:val="096473F5"/>
    <w:rsid w:val="096F3207"/>
    <w:rsid w:val="09BA1FBB"/>
    <w:rsid w:val="09CA2C4D"/>
    <w:rsid w:val="09CB139F"/>
    <w:rsid w:val="09D71932"/>
    <w:rsid w:val="0A0106F5"/>
    <w:rsid w:val="0A112AB7"/>
    <w:rsid w:val="0A447D68"/>
    <w:rsid w:val="0A4E5482"/>
    <w:rsid w:val="0AAA504A"/>
    <w:rsid w:val="0AC402B6"/>
    <w:rsid w:val="0AD71BC7"/>
    <w:rsid w:val="0ADB5CDD"/>
    <w:rsid w:val="0AF420EB"/>
    <w:rsid w:val="0AFB4013"/>
    <w:rsid w:val="0B2B2BF5"/>
    <w:rsid w:val="0B2F3908"/>
    <w:rsid w:val="0B3F6206"/>
    <w:rsid w:val="0B7E67EB"/>
    <w:rsid w:val="0B8C5B00"/>
    <w:rsid w:val="0BA070D0"/>
    <w:rsid w:val="0BE12DB6"/>
    <w:rsid w:val="0BE72997"/>
    <w:rsid w:val="0BFC6504"/>
    <w:rsid w:val="0C345AD1"/>
    <w:rsid w:val="0C552FCB"/>
    <w:rsid w:val="0C626CE4"/>
    <w:rsid w:val="0C7031B4"/>
    <w:rsid w:val="0D08498F"/>
    <w:rsid w:val="0D0C2B7B"/>
    <w:rsid w:val="0D9308F8"/>
    <w:rsid w:val="0DE76C3D"/>
    <w:rsid w:val="0E1A1D85"/>
    <w:rsid w:val="0E3C75E8"/>
    <w:rsid w:val="0E4F4D64"/>
    <w:rsid w:val="0E6B26B6"/>
    <w:rsid w:val="0E750568"/>
    <w:rsid w:val="0E9C3C97"/>
    <w:rsid w:val="0EA55D13"/>
    <w:rsid w:val="0EBA2435"/>
    <w:rsid w:val="0EE1283B"/>
    <w:rsid w:val="0F0F31C4"/>
    <w:rsid w:val="0F2D7A80"/>
    <w:rsid w:val="0F4277E5"/>
    <w:rsid w:val="0F5F09C4"/>
    <w:rsid w:val="0FA75561"/>
    <w:rsid w:val="0FB83603"/>
    <w:rsid w:val="0FBE4261"/>
    <w:rsid w:val="0FCA77F1"/>
    <w:rsid w:val="0FCD5DCC"/>
    <w:rsid w:val="10043197"/>
    <w:rsid w:val="101A497B"/>
    <w:rsid w:val="10270545"/>
    <w:rsid w:val="103409DF"/>
    <w:rsid w:val="10426AFF"/>
    <w:rsid w:val="10492BB2"/>
    <w:rsid w:val="108A1D4B"/>
    <w:rsid w:val="10A10111"/>
    <w:rsid w:val="10BE093E"/>
    <w:rsid w:val="10C72515"/>
    <w:rsid w:val="10E16942"/>
    <w:rsid w:val="10E20BD8"/>
    <w:rsid w:val="10EB7251"/>
    <w:rsid w:val="110F618C"/>
    <w:rsid w:val="111B0FE9"/>
    <w:rsid w:val="112273AB"/>
    <w:rsid w:val="112C77F4"/>
    <w:rsid w:val="114755AB"/>
    <w:rsid w:val="115F67A8"/>
    <w:rsid w:val="118328C8"/>
    <w:rsid w:val="119A7465"/>
    <w:rsid w:val="119B76A5"/>
    <w:rsid w:val="11AE1BB4"/>
    <w:rsid w:val="11C07DA5"/>
    <w:rsid w:val="11C2491E"/>
    <w:rsid w:val="11F36B75"/>
    <w:rsid w:val="11F6117A"/>
    <w:rsid w:val="12336BCD"/>
    <w:rsid w:val="123B45F5"/>
    <w:rsid w:val="12491386"/>
    <w:rsid w:val="12DE232A"/>
    <w:rsid w:val="12E60579"/>
    <w:rsid w:val="12EB0F02"/>
    <w:rsid w:val="12FE34CD"/>
    <w:rsid w:val="13057392"/>
    <w:rsid w:val="13695B36"/>
    <w:rsid w:val="1372609F"/>
    <w:rsid w:val="138A301D"/>
    <w:rsid w:val="138E6D87"/>
    <w:rsid w:val="13CD6F8A"/>
    <w:rsid w:val="13D73572"/>
    <w:rsid w:val="140137CB"/>
    <w:rsid w:val="141476FE"/>
    <w:rsid w:val="1449272D"/>
    <w:rsid w:val="14504752"/>
    <w:rsid w:val="145A6A37"/>
    <w:rsid w:val="1467440F"/>
    <w:rsid w:val="146B2014"/>
    <w:rsid w:val="147F6DAD"/>
    <w:rsid w:val="14846AB8"/>
    <w:rsid w:val="14E05B4D"/>
    <w:rsid w:val="14FA1F7A"/>
    <w:rsid w:val="15400323"/>
    <w:rsid w:val="15433A9B"/>
    <w:rsid w:val="15545B0C"/>
    <w:rsid w:val="159233F2"/>
    <w:rsid w:val="15BB45B7"/>
    <w:rsid w:val="15D346A7"/>
    <w:rsid w:val="15D93B67"/>
    <w:rsid w:val="15E9057E"/>
    <w:rsid w:val="15FC2F04"/>
    <w:rsid w:val="16181FAC"/>
    <w:rsid w:val="16450C97"/>
    <w:rsid w:val="16666C4E"/>
    <w:rsid w:val="168756A0"/>
    <w:rsid w:val="16F94849"/>
    <w:rsid w:val="17045E51"/>
    <w:rsid w:val="1706559C"/>
    <w:rsid w:val="172011D4"/>
    <w:rsid w:val="17252C3B"/>
    <w:rsid w:val="173F0A2E"/>
    <w:rsid w:val="17770BC2"/>
    <w:rsid w:val="177A3491"/>
    <w:rsid w:val="17860E2F"/>
    <w:rsid w:val="17A119AA"/>
    <w:rsid w:val="17E85AC5"/>
    <w:rsid w:val="18104A8B"/>
    <w:rsid w:val="182E403B"/>
    <w:rsid w:val="18426B32"/>
    <w:rsid w:val="18586F2B"/>
    <w:rsid w:val="19A766B9"/>
    <w:rsid w:val="19B06735"/>
    <w:rsid w:val="19CE76BA"/>
    <w:rsid w:val="19F26070"/>
    <w:rsid w:val="19F97C8B"/>
    <w:rsid w:val="1A1523CE"/>
    <w:rsid w:val="1AA730BD"/>
    <w:rsid w:val="1B333D5D"/>
    <w:rsid w:val="1B400146"/>
    <w:rsid w:val="1B587618"/>
    <w:rsid w:val="1B5F19C7"/>
    <w:rsid w:val="1B84164C"/>
    <w:rsid w:val="1B847674"/>
    <w:rsid w:val="1C1C709B"/>
    <w:rsid w:val="1C4A05F8"/>
    <w:rsid w:val="1C4F6795"/>
    <w:rsid w:val="1C687BA8"/>
    <w:rsid w:val="1C7723C1"/>
    <w:rsid w:val="1C9F6814"/>
    <w:rsid w:val="1CA7399C"/>
    <w:rsid w:val="1D5C514E"/>
    <w:rsid w:val="1D865D14"/>
    <w:rsid w:val="1D8705EC"/>
    <w:rsid w:val="1DBE0159"/>
    <w:rsid w:val="1DEC0E7D"/>
    <w:rsid w:val="1DF779ED"/>
    <w:rsid w:val="1E344794"/>
    <w:rsid w:val="1E40742E"/>
    <w:rsid w:val="1E43150B"/>
    <w:rsid w:val="1E544E3F"/>
    <w:rsid w:val="1EA93E80"/>
    <w:rsid w:val="1EC16A83"/>
    <w:rsid w:val="1ED33FB6"/>
    <w:rsid w:val="1EDC0931"/>
    <w:rsid w:val="1EE011E0"/>
    <w:rsid w:val="1EE81332"/>
    <w:rsid w:val="1F32415A"/>
    <w:rsid w:val="1F4160D7"/>
    <w:rsid w:val="1F542F9A"/>
    <w:rsid w:val="1F6D241E"/>
    <w:rsid w:val="1F702632"/>
    <w:rsid w:val="1F7E2174"/>
    <w:rsid w:val="20107567"/>
    <w:rsid w:val="20313E48"/>
    <w:rsid w:val="204E750E"/>
    <w:rsid w:val="208244E5"/>
    <w:rsid w:val="20AB56C6"/>
    <w:rsid w:val="20E21F80"/>
    <w:rsid w:val="21547789"/>
    <w:rsid w:val="216F2E69"/>
    <w:rsid w:val="21760275"/>
    <w:rsid w:val="2176507C"/>
    <w:rsid w:val="21AC4ECC"/>
    <w:rsid w:val="21AD074F"/>
    <w:rsid w:val="21BE35AF"/>
    <w:rsid w:val="21C11174"/>
    <w:rsid w:val="21F94FCB"/>
    <w:rsid w:val="22010E3A"/>
    <w:rsid w:val="22056B7C"/>
    <w:rsid w:val="22244B28"/>
    <w:rsid w:val="222C6A9F"/>
    <w:rsid w:val="22467FD4"/>
    <w:rsid w:val="224C3750"/>
    <w:rsid w:val="22667643"/>
    <w:rsid w:val="228935B5"/>
    <w:rsid w:val="229451FD"/>
    <w:rsid w:val="22A12DB6"/>
    <w:rsid w:val="22B01277"/>
    <w:rsid w:val="236356D1"/>
    <w:rsid w:val="23672FA4"/>
    <w:rsid w:val="23A45F21"/>
    <w:rsid w:val="23A91C83"/>
    <w:rsid w:val="23C962E8"/>
    <w:rsid w:val="23FE2932"/>
    <w:rsid w:val="243F7403"/>
    <w:rsid w:val="247E4FED"/>
    <w:rsid w:val="24AD78E0"/>
    <w:rsid w:val="24B30BE8"/>
    <w:rsid w:val="24BC5AD3"/>
    <w:rsid w:val="24E10292"/>
    <w:rsid w:val="24E34060"/>
    <w:rsid w:val="253A0491"/>
    <w:rsid w:val="254E0478"/>
    <w:rsid w:val="259322B4"/>
    <w:rsid w:val="25AF6361"/>
    <w:rsid w:val="25C50504"/>
    <w:rsid w:val="25E036B2"/>
    <w:rsid w:val="25E75BA2"/>
    <w:rsid w:val="25E9082A"/>
    <w:rsid w:val="25F42473"/>
    <w:rsid w:val="260A0FF9"/>
    <w:rsid w:val="26436BD4"/>
    <w:rsid w:val="265C2AE3"/>
    <w:rsid w:val="269C17B8"/>
    <w:rsid w:val="26AF2D79"/>
    <w:rsid w:val="26B34B91"/>
    <w:rsid w:val="26ED706D"/>
    <w:rsid w:val="26F853FE"/>
    <w:rsid w:val="26F92E80"/>
    <w:rsid w:val="270D66E8"/>
    <w:rsid w:val="27514612"/>
    <w:rsid w:val="278B0DAB"/>
    <w:rsid w:val="278D3850"/>
    <w:rsid w:val="279C6B0E"/>
    <w:rsid w:val="27A64735"/>
    <w:rsid w:val="27CC4DF2"/>
    <w:rsid w:val="27FC39A7"/>
    <w:rsid w:val="280D64D7"/>
    <w:rsid w:val="281864F2"/>
    <w:rsid w:val="28341582"/>
    <w:rsid w:val="283D5C30"/>
    <w:rsid w:val="28634650"/>
    <w:rsid w:val="286903EF"/>
    <w:rsid w:val="287F5DD3"/>
    <w:rsid w:val="288047CB"/>
    <w:rsid w:val="289E62FA"/>
    <w:rsid w:val="28DB3015"/>
    <w:rsid w:val="28FD6E90"/>
    <w:rsid w:val="291E2CA6"/>
    <w:rsid w:val="29331862"/>
    <w:rsid w:val="29606AF1"/>
    <w:rsid w:val="299741EC"/>
    <w:rsid w:val="299E147F"/>
    <w:rsid w:val="29B72BFE"/>
    <w:rsid w:val="29C32A87"/>
    <w:rsid w:val="29CF26DC"/>
    <w:rsid w:val="29FB0EEE"/>
    <w:rsid w:val="2A1C5DA0"/>
    <w:rsid w:val="2A200D39"/>
    <w:rsid w:val="2A507EFF"/>
    <w:rsid w:val="2A5F2FA3"/>
    <w:rsid w:val="2AAB37D0"/>
    <w:rsid w:val="2ADC05A4"/>
    <w:rsid w:val="2AEF2177"/>
    <w:rsid w:val="2B0B6B2D"/>
    <w:rsid w:val="2B46348F"/>
    <w:rsid w:val="2B5E3CCB"/>
    <w:rsid w:val="2B6F0D7F"/>
    <w:rsid w:val="2B8716BD"/>
    <w:rsid w:val="2B8B76FF"/>
    <w:rsid w:val="2BA07020"/>
    <w:rsid w:val="2BB97F4A"/>
    <w:rsid w:val="2BD5034F"/>
    <w:rsid w:val="2BF77A2F"/>
    <w:rsid w:val="2C370819"/>
    <w:rsid w:val="2C5F3D9D"/>
    <w:rsid w:val="2C61165D"/>
    <w:rsid w:val="2C88731E"/>
    <w:rsid w:val="2CF85053"/>
    <w:rsid w:val="2D002B75"/>
    <w:rsid w:val="2D025012"/>
    <w:rsid w:val="2D2B45A9"/>
    <w:rsid w:val="2D4178F0"/>
    <w:rsid w:val="2DAE631A"/>
    <w:rsid w:val="2DD877E0"/>
    <w:rsid w:val="2DE616C9"/>
    <w:rsid w:val="2DFC2451"/>
    <w:rsid w:val="2E3422F8"/>
    <w:rsid w:val="2E6E566D"/>
    <w:rsid w:val="2E7F188E"/>
    <w:rsid w:val="2E81758A"/>
    <w:rsid w:val="2EBC0905"/>
    <w:rsid w:val="2EC73739"/>
    <w:rsid w:val="2EFB1B0E"/>
    <w:rsid w:val="2F5C684F"/>
    <w:rsid w:val="2F63756E"/>
    <w:rsid w:val="2F933A9E"/>
    <w:rsid w:val="2FA45F37"/>
    <w:rsid w:val="2FAE20C9"/>
    <w:rsid w:val="2FBF7DE5"/>
    <w:rsid w:val="3032101E"/>
    <w:rsid w:val="306927FC"/>
    <w:rsid w:val="307776D1"/>
    <w:rsid w:val="307B2717"/>
    <w:rsid w:val="30862574"/>
    <w:rsid w:val="30B631E1"/>
    <w:rsid w:val="30C05531"/>
    <w:rsid w:val="30E57BC8"/>
    <w:rsid w:val="311933AA"/>
    <w:rsid w:val="31414A5E"/>
    <w:rsid w:val="315B788A"/>
    <w:rsid w:val="315E658D"/>
    <w:rsid w:val="3168109A"/>
    <w:rsid w:val="317D15BB"/>
    <w:rsid w:val="31D07E6C"/>
    <w:rsid w:val="323F65DA"/>
    <w:rsid w:val="32412074"/>
    <w:rsid w:val="324C69F9"/>
    <w:rsid w:val="32674F4D"/>
    <w:rsid w:val="32DE0199"/>
    <w:rsid w:val="333C2963"/>
    <w:rsid w:val="335B2774"/>
    <w:rsid w:val="338B331E"/>
    <w:rsid w:val="33A20D45"/>
    <w:rsid w:val="33A4642E"/>
    <w:rsid w:val="33D1020F"/>
    <w:rsid w:val="33D4039C"/>
    <w:rsid w:val="33D47E05"/>
    <w:rsid w:val="33EC194A"/>
    <w:rsid w:val="3413677D"/>
    <w:rsid w:val="342B544B"/>
    <w:rsid w:val="344B402F"/>
    <w:rsid w:val="345E036E"/>
    <w:rsid w:val="34C47852"/>
    <w:rsid w:val="34DE1E4F"/>
    <w:rsid w:val="34F07DB1"/>
    <w:rsid w:val="35216C38"/>
    <w:rsid w:val="35486AF7"/>
    <w:rsid w:val="359009FB"/>
    <w:rsid w:val="35D354B8"/>
    <w:rsid w:val="35D4025C"/>
    <w:rsid w:val="36063A32"/>
    <w:rsid w:val="362666BC"/>
    <w:rsid w:val="36445A95"/>
    <w:rsid w:val="368A6B11"/>
    <w:rsid w:val="36A238B1"/>
    <w:rsid w:val="37085B1F"/>
    <w:rsid w:val="37103EE5"/>
    <w:rsid w:val="372E04CB"/>
    <w:rsid w:val="37317C9C"/>
    <w:rsid w:val="38E070F2"/>
    <w:rsid w:val="390D33AB"/>
    <w:rsid w:val="391E6D06"/>
    <w:rsid w:val="39DC5BB6"/>
    <w:rsid w:val="39F1031B"/>
    <w:rsid w:val="3A074847"/>
    <w:rsid w:val="3A830B2E"/>
    <w:rsid w:val="3A9F6E2A"/>
    <w:rsid w:val="3AA90FE6"/>
    <w:rsid w:val="3AA9318F"/>
    <w:rsid w:val="3AB62DA0"/>
    <w:rsid w:val="3AD04447"/>
    <w:rsid w:val="3AEA41B5"/>
    <w:rsid w:val="3B414BC4"/>
    <w:rsid w:val="3B4971AB"/>
    <w:rsid w:val="3B69577B"/>
    <w:rsid w:val="3B702D85"/>
    <w:rsid w:val="3B7905A1"/>
    <w:rsid w:val="3B7D3FD5"/>
    <w:rsid w:val="3B823DDF"/>
    <w:rsid w:val="3BD827B4"/>
    <w:rsid w:val="3C237ED3"/>
    <w:rsid w:val="3C317D4F"/>
    <w:rsid w:val="3C4D2D59"/>
    <w:rsid w:val="3CAA596A"/>
    <w:rsid w:val="3CAF1D22"/>
    <w:rsid w:val="3CB1587B"/>
    <w:rsid w:val="3CB735F2"/>
    <w:rsid w:val="3CFC4E99"/>
    <w:rsid w:val="3D186684"/>
    <w:rsid w:val="3D363C36"/>
    <w:rsid w:val="3D68584E"/>
    <w:rsid w:val="3D8B2178"/>
    <w:rsid w:val="3DB34909"/>
    <w:rsid w:val="3DCA67EC"/>
    <w:rsid w:val="3DD115F5"/>
    <w:rsid w:val="3DE435F0"/>
    <w:rsid w:val="3DE5122C"/>
    <w:rsid w:val="3DF37E53"/>
    <w:rsid w:val="3DFB75DD"/>
    <w:rsid w:val="3E1768EB"/>
    <w:rsid w:val="3E212A7E"/>
    <w:rsid w:val="3E47743A"/>
    <w:rsid w:val="3EB70D31"/>
    <w:rsid w:val="3ED26DE9"/>
    <w:rsid w:val="3EED17D0"/>
    <w:rsid w:val="3F052CF0"/>
    <w:rsid w:val="3F0C0304"/>
    <w:rsid w:val="3F2A7DE0"/>
    <w:rsid w:val="3F774839"/>
    <w:rsid w:val="3FEC147E"/>
    <w:rsid w:val="400D1324"/>
    <w:rsid w:val="40111F29"/>
    <w:rsid w:val="401A01BA"/>
    <w:rsid w:val="40376375"/>
    <w:rsid w:val="407D0E43"/>
    <w:rsid w:val="40980F08"/>
    <w:rsid w:val="40C83C56"/>
    <w:rsid w:val="40E340D5"/>
    <w:rsid w:val="40F3251B"/>
    <w:rsid w:val="412732B7"/>
    <w:rsid w:val="4127791F"/>
    <w:rsid w:val="41281794"/>
    <w:rsid w:val="413C1FDF"/>
    <w:rsid w:val="41806A69"/>
    <w:rsid w:val="41980AAB"/>
    <w:rsid w:val="41A40141"/>
    <w:rsid w:val="41B0259C"/>
    <w:rsid w:val="41BC6F1C"/>
    <w:rsid w:val="41EF2363"/>
    <w:rsid w:val="41F77860"/>
    <w:rsid w:val="424A4B98"/>
    <w:rsid w:val="424F27D8"/>
    <w:rsid w:val="42581D3A"/>
    <w:rsid w:val="429C4E56"/>
    <w:rsid w:val="42E42CCB"/>
    <w:rsid w:val="42ED2EA4"/>
    <w:rsid w:val="42F37A63"/>
    <w:rsid w:val="42F6649D"/>
    <w:rsid w:val="42FE0080"/>
    <w:rsid w:val="43315D2E"/>
    <w:rsid w:val="43670C99"/>
    <w:rsid w:val="43824A1C"/>
    <w:rsid w:val="43BA782C"/>
    <w:rsid w:val="43D110E1"/>
    <w:rsid w:val="43E048FB"/>
    <w:rsid w:val="43E873C9"/>
    <w:rsid w:val="43EF4482"/>
    <w:rsid w:val="448B5C69"/>
    <w:rsid w:val="44905B1F"/>
    <w:rsid w:val="44A3327A"/>
    <w:rsid w:val="44C81F67"/>
    <w:rsid w:val="45316885"/>
    <w:rsid w:val="459B1F40"/>
    <w:rsid w:val="45A95EE9"/>
    <w:rsid w:val="45EA5542"/>
    <w:rsid w:val="45FB0F21"/>
    <w:rsid w:val="46130905"/>
    <w:rsid w:val="46167166"/>
    <w:rsid w:val="4636719A"/>
    <w:rsid w:val="463A65C6"/>
    <w:rsid w:val="464858DB"/>
    <w:rsid w:val="4650656B"/>
    <w:rsid w:val="46685E10"/>
    <w:rsid w:val="46843C64"/>
    <w:rsid w:val="46D73EC6"/>
    <w:rsid w:val="47200EE3"/>
    <w:rsid w:val="47435AC2"/>
    <w:rsid w:val="47544B78"/>
    <w:rsid w:val="47587AF7"/>
    <w:rsid w:val="47745A86"/>
    <w:rsid w:val="47C9778B"/>
    <w:rsid w:val="47CB5A57"/>
    <w:rsid w:val="47E239AC"/>
    <w:rsid w:val="47F33399"/>
    <w:rsid w:val="480C42C3"/>
    <w:rsid w:val="480F4B73"/>
    <w:rsid w:val="4816227E"/>
    <w:rsid w:val="4862144E"/>
    <w:rsid w:val="487974BD"/>
    <w:rsid w:val="489E3831"/>
    <w:rsid w:val="48A10D21"/>
    <w:rsid w:val="48B9571B"/>
    <w:rsid w:val="48DB38E3"/>
    <w:rsid w:val="49001B5E"/>
    <w:rsid w:val="4904108C"/>
    <w:rsid w:val="493443AD"/>
    <w:rsid w:val="49376DB0"/>
    <w:rsid w:val="493D4634"/>
    <w:rsid w:val="49551CDB"/>
    <w:rsid w:val="49605AEE"/>
    <w:rsid w:val="497E3057"/>
    <w:rsid w:val="49804BB7"/>
    <w:rsid w:val="49826DCB"/>
    <w:rsid w:val="499013E7"/>
    <w:rsid w:val="49C8088A"/>
    <w:rsid w:val="49F031DE"/>
    <w:rsid w:val="49F772E6"/>
    <w:rsid w:val="4A0F6D68"/>
    <w:rsid w:val="4A301C93"/>
    <w:rsid w:val="4A3302AB"/>
    <w:rsid w:val="4A4C47F2"/>
    <w:rsid w:val="4A572A17"/>
    <w:rsid w:val="4A6F2535"/>
    <w:rsid w:val="4A7224B3"/>
    <w:rsid w:val="4A7706DB"/>
    <w:rsid w:val="4A901A63"/>
    <w:rsid w:val="4A9C5875"/>
    <w:rsid w:val="4AC85D49"/>
    <w:rsid w:val="4ACD18C8"/>
    <w:rsid w:val="4AE308A9"/>
    <w:rsid w:val="4B260F2D"/>
    <w:rsid w:val="4B4F7F5C"/>
    <w:rsid w:val="4B9A1456"/>
    <w:rsid w:val="4BA32C82"/>
    <w:rsid w:val="4BB67869"/>
    <w:rsid w:val="4BDB6202"/>
    <w:rsid w:val="4BE70627"/>
    <w:rsid w:val="4C0A5AE1"/>
    <w:rsid w:val="4C130AB8"/>
    <w:rsid w:val="4C5A284D"/>
    <w:rsid w:val="4C5C0673"/>
    <w:rsid w:val="4C8B531F"/>
    <w:rsid w:val="4CB96B43"/>
    <w:rsid w:val="4CC61682"/>
    <w:rsid w:val="4CC75FCC"/>
    <w:rsid w:val="4CC87A5E"/>
    <w:rsid w:val="4CD63947"/>
    <w:rsid w:val="4CFC49F4"/>
    <w:rsid w:val="4D0314E7"/>
    <w:rsid w:val="4D073D73"/>
    <w:rsid w:val="4D1E27BA"/>
    <w:rsid w:val="4D23574A"/>
    <w:rsid w:val="4D4C4DB0"/>
    <w:rsid w:val="4D7322D5"/>
    <w:rsid w:val="4D895922"/>
    <w:rsid w:val="4DD7034C"/>
    <w:rsid w:val="4DE312CB"/>
    <w:rsid w:val="4DF5318E"/>
    <w:rsid w:val="4E0D199A"/>
    <w:rsid w:val="4E0E0BAE"/>
    <w:rsid w:val="4E1F4862"/>
    <w:rsid w:val="4E2E4393"/>
    <w:rsid w:val="4E4478F5"/>
    <w:rsid w:val="4E535EF2"/>
    <w:rsid w:val="4F08773C"/>
    <w:rsid w:val="4F31409F"/>
    <w:rsid w:val="4F391107"/>
    <w:rsid w:val="4F3B50DC"/>
    <w:rsid w:val="4F5E670E"/>
    <w:rsid w:val="4F846A83"/>
    <w:rsid w:val="50070E2C"/>
    <w:rsid w:val="50093D5E"/>
    <w:rsid w:val="501112F3"/>
    <w:rsid w:val="504B57F2"/>
    <w:rsid w:val="50514152"/>
    <w:rsid w:val="50850D04"/>
    <w:rsid w:val="50C5433A"/>
    <w:rsid w:val="50C62BC7"/>
    <w:rsid w:val="50C879B4"/>
    <w:rsid w:val="50D40EA8"/>
    <w:rsid w:val="50F72A66"/>
    <w:rsid w:val="5123368C"/>
    <w:rsid w:val="51291C37"/>
    <w:rsid w:val="5130747C"/>
    <w:rsid w:val="515C765A"/>
    <w:rsid w:val="5175182D"/>
    <w:rsid w:val="51905BB3"/>
    <w:rsid w:val="51922560"/>
    <w:rsid w:val="51946FCB"/>
    <w:rsid w:val="51DD796B"/>
    <w:rsid w:val="51DF373B"/>
    <w:rsid w:val="52A511EA"/>
    <w:rsid w:val="52EF4CB5"/>
    <w:rsid w:val="52F959F0"/>
    <w:rsid w:val="5302488E"/>
    <w:rsid w:val="530323B4"/>
    <w:rsid w:val="53136173"/>
    <w:rsid w:val="534B12B7"/>
    <w:rsid w:val="539A4AC7"/>
    <w:rsid w:val="53F86552"/>
    <w:rsid w:val="542631B6"/>
    <w:rsid w:val="542B7CA6"/>
    <w:rsid w:val="5447483C"/>
    <w:rsid w:val="544D14DF"/>
    <w:rsid w:val="547748A2"/>
    <w:rsid w:val="54942CAE"/>
    <w:rsid w:val="54A61722"/>
    <w:rsid w:val="54B31FAF"/>
    <w:rsid w:val="54DC2048"/>
    <w:rsid w:val="550C502E"/>
    <w:rsid w:val="55224E1C"/>
    <w:rsid w:val="55326D63"/>
    <w:rsid w:val="555D1A10"/>
    <w:rsid w:val="55963292"/>
    <w:rsid w:val="55B72CB0"/>
    <w:rsid w:val="55C300FC"/>
    <w:rsid w:val="55E8347F"/>
    <w:rsid w:val="55E90F00"/>
    <w:rsid w:val="56AC4A78"/>
    <w:rsid w:val="56B55151"/>
    <w:rsid w:val="56DB16B9"/>
    <w:rsid w:val="57435CBA"/>
    <w:rsid w:val="577A3463"/>
    <w:rsid w:val="57B35F6D"/>
    <w:rsid w:val="57BE1D80"/>
    <w:rsid w:val="57F967AD"/>
    <w:rsid w:val="58052975"/>
    <w:rsid w:val="581D7A74"/>
    <w:rsid w:val="58346163"/>
    <w:rsid w:val="584D1A65"/>
    <w:rsid w:val="584F5C44"/>
    <w:rsid w:val="58A96885"/>
    <w:rsid w:val="58B8581B"/>
    <w:rsid w:val="58E525CA"/>
    <w:rsid w:val="58EE7372"/>
    <w:rsid w:val="58FD7D40"/>
    <w:rsid w:val="590E25AF"/>
    <w:rsid w:val="592B5B5A"/>
    <w:rsid w:val="593D045A"/>
    <w:rsid w:val="5960739E"/>
    <w:rsid w:val="59896D0A"/>
    <w:rsid w:val="599226DC"/>
    <w:rsid w:val="599D6D92"/>
    <w:rsid w:val="59B72684"/>
    <w:rsid w:val="59BA4144"/>
    <w:rsid w:val="59F861A7"/>
    <w:rsid w:val="5A9579AE"/>
    <w:rsid w:val="5AA42F58"/>
    <w:rsid w:val="5AC468CD"/>
    <w:rsid w:val="5AC558FB"/>
    <w:rsid w:val="5B342B9A"/>
    <w:rsid w:val="5B5953B0"/>
    <w:rsid w:val="5B630802"/>
    <w:rsid w:val="5B746998"/>
    <w:rsid w:val="5B807F68"/>
    <w:rsid w:val="5B842FFA"/>
    <w:rsid w:val="5BA72CE5"/>
    <w:rsid w:val="5BE61256"/>
    <w:rsid w:val="5C034D53"/>
    <w:rsid w:val="5C0A43A9"/>
    <w:rsid w:val="5C41066B"/>
    <w:rsid w:val="5C620B9F"/>
    <w:rsid w:val="5C79798F"/>
    <w:rsid w:val="5C7F2AAC"/>
    <w:rsid w:val="5CDA5F34"/>
    <w:rsid w:val="5D0E2082"/>
    <w:rsid w:val="5D161948"/>
    <w:rsid w:val="5D722852"/>
    <w:rsid w:val="5E1D6F56"/>
    <w:rsid w:val="5E52187F"/>
    <w:rsid w:val="5E6A13CD"/>
    <w:rsid w:val="5E705D15"/>
    <w:rsid w:val="5E93326C"/>
    <w:rsid w:val="5E9F1A7A"/>
    <w:rsid w:val="5EAB5261"/>
    <w:rsid w:val="5EAF3818"/>
    <w:rsid w:val="5EE62ABD"/>
    <w:rsid w:val="5EFB4BA4"/>
    <w:rsid w:val="5EFD23AE"/>
    <w:rsid w:val="5F025452"/>
    <w:rsid w:val="5F5F46B5"/>
    <w:rsid w:val="5FB25360"/>
    <w:rsid w:val="5FBA3CC0"/>
    <w:rsid w:val="5FD90D61"/>
    <w:rsid w:val="60177697"/>
    <w:rsid w:val="602329DB"/>
    <w:rsid w:val="607777D6"/>
    <w:rsid w:val="60870181"/>
    <w:rsid w:val="60B34B89"/>
    <w:rsid w:val="60BC76A1"/>
    <w:rsid w:val="610B7637"/>
    <w:rsid w:val="612279BA"/>
    <w:rsid w:val="614D1FB2"/>
    <w:rsid w:val="615F5624"/>
    <w:rsid w:val="616014D4"/>
    <w:rsid w:val="61D215CF"/>
    <w:rsid w:val="62042FA0"/>
    <w:rsid w:val="62414951"/>
    <w:rsid w:val="625901AB"/>
    <w:rsid w:val="625C563D"/>
    <w:rsid w:val="626A1704"/>
    <w:rsid w:val="627921C2"/>
    <w:rsid w:val="62B362C8"/>
    <w:rsid w:val="62C1330E"/>
    <w:rsid w:val="62DD39C2"/>
    <w:rsid w:val="62EB67A0"/>
    <w:rsid w:val="62EC0759"/>
    <w:rsid w:val="62F200E4"/>
    <w:rsid w:val="62FB30A8"/>
    <w:rsid w:val="63084806"/>
    <w:rsid w:val="6342085E"/>
    <w:rsid w:val="636F415C"/>
    <w:rsid w:val="63C329BB"/>
    <w:rsid w:val="63E85179"/>
    <w:rsid w:val="64515AA2"/>
    <w:rsid w:val="645A0930"/>
    <w:rsid w:val="64917820"/>
    <w:rsid w:val="64AA1CC5"/>
    <w:rsid w:val="64E9279D"/>
    <w:rsid w:val="64EB5CA0"/>
    <w:rsid w:val="6528341F"/>
    <w:rsid w:val="6544632F"/>
    <w:rsid w:val="656B2909"/>
    <w:rsid w:val="6598607C"/>
    <w:rsid w:val="659A2704"/>
    <w:rsid w:val="65A3045D"/>
    <w:rsid w:val="65D5369F"/>
    <w:rsid w:val="65D97752"/>
    <w:rsid w:val="65E25E59"/>
    <w:rsid w:val="66174109"/>
    <w:rsid w:val="6617798C"/>
    <w:rsid w:val="66307F76"/>
    <w:rsid w:val="66580EAF"/>
    <w:rsid w:val="66694D0D"/>
    <w:rsid w:val="667B4472"/>
    <w:rsid w:val="66F041A8"/>
    <w:rsid w:val="6721178A"/>
    <w:rsid w:val="6739399A"/>
    <w:rsid w:val="673F39DE"/>
    <w:rsid w:val="674C5D22"/>
    <w:rsid w:val="67663AF8"/>
    <w:rsid w:val="677243C5"/>
    <w:rsid w:val="67762CFD"/>
    <w:rsid w:val="67762DCB"/>
    <w:rsid w:val="677A678D"/>
    <w:rsid w:val="678C2D71"/>
    <w:rsid w:val="67A17493"/>
    <w:rsid w:val="67D30B32"/>
    <w:rsid w:val="68011379"/>
    <w:rsid w:val="68252C37"/>
    <w:rsid w:val="6836320A"/>
    <w:rsid w:val="6855023B"/>
    <w:rsid w:val="68673E5E"/>
    <w:rsid w:val="68803F1E"/>
    <w:rsid w:val="68817BAC"/>
    <w:rsid w:val="689A5E59"/>
    <w:rsid w:val="68A94E70"/>
    <w:rsid w:val="68AB31C8"/>
    <w:rsid w:val="68EB61B0"/>
    <w:rsid w:val="68EE72DF"/>
    <w:rsid w:val="68FE51D1"/>
    <w:rsid w:val="690B4C92"/>
    <w:rsid w:val="69485FEA"/>
    <w:rsid w:val="69677DC0"/>
    <w:rsid w:val="69937EC7"/>
    <w:rsid w:val="699A504F"/>
    <w:rsid w:val="69D64558"/>
    <w:rsid w:val="6A042548"/>
    <w:rsid w:val="6A0D2242"/>
    <w:rsid w:val="6A0F720C"/>
    <w:rsid w:val="6A146F17"/>
    <w:rsid w:val="6A244C92"/>
    <w:rsid w:val="6A471EFD"/>
    <w:rsid w:val="6AB57116"/>
    <w:rsid w:val="6B17424A"/>
    <w:rsid w:val="6B2218FA"/>
    <w:rsid w:val="6B5A722E"/>
    <w:rsid w:val="6B686C59"/>
    <w:rsid w:val="6B691672"/>
    <w:rsid w:val="6B8C3281"/>
    <w:rsid w:val="6BCA2D65"/>
    <w:rsid w:val="6BE97F42"/>
    <w:rsid w:val="6BEB29A1"/>
    <w:rsid w:val="6C5660C1"/>
    <w:rsid w:val="6C5E6A51"/>
    <w:rsid w:val="6C6513C3"/>
    <w:rsid w:val="6C744268"/>
    <w:rsid w:val="6C913746"/>
    <w:rsid w:val="6C9D0B3F"/>
    <w:rsid w:val="6CD62D03"/>
    <w:rsid w:val="6CD97FB6"/>
    <w:rsid w:val="6CDD2F90"/>
    <w:rsid w:val="6D0B1173"/>
    <w:rsid w:val="6D0E5050"/>
    <w:rsid w:val="6D4B22B8"/>
    <w:rsid w:val="6D930013"/>
    <w:rsid w:val="6DA51372"/>
    <w:rsid w:val="6DB53B8B"/>
    <w:rsid w:val="6DBA5A94"/>
    <w:rsid w:val="6E1A1656"/>
    <w:rsid w:val="6E231DD6"/>
    <w:rsid w:val="6E5A5288"/>
    <w:rsid w:val="6EE013EE"/>
    <w:rsid w:val="6EE079F1"/>
    <w:rsid w:val="6EE42C42"/>
    <w:rsid w:val="6F143527"/>
    <w:rsid w:val="6F7F7CB0"/>
    <w:rsid w:val="6FE0165C"/>
    <w:rsid w:val="6FE10C44"/>
    <w:rsid w:val="70222744"/>
    <w:rsid w:val="70616C6C"/>
    <w:rsid w:val="706D25DF"/>
    <w:rsid w:val="706D2B21"/>
    <w:rsid w:val="707B1384"/>
    <w:rsid w:val="70857A34"/>
    <w:rsid w:val="70985D3C"/>
    <w:rsid w:val="70C52655"/>
    <w:rsid w:val="70FD625F"/>
    <w:rsid w:val="71047C73"/>
    <w:rsid w:val="7109004F"/>
    <w:rsid w:val="71103167"/>
    <w:rsid w:val="71211E57"/>
    <w:rsid w:val="712E56F7"/>
    <w:rsid w:val="713954C7"/>
    <w:rsid w:val="71691ABB"/>
    <w:rsid w:val="718D0958"/>
    <w:rsid w:val="71AE1AEA"/>
    <w:rsid w:val="71CF3B6C"/>
    <w:rsid w:val="71F80F33"/>
    <w:rsid w:val="722922C6"/>
    <w:rsid w:val="72367C59"/>
    <w:rsid w:val="723C5278"/>
    <w:rsid w:val="723F4D5F"/>
    <w:rsid w:val="72532C9F"/>
    <w:rsid w:val="727176A7"/>
    <w:rsid w:val="72CB03A1"/>
    <w:rsid w:val="73047240"/>
    <w:rsid w:val="730F5864"/>
    <w:rsid w:val="732D4B5D"/>
    <w:rsid w:val="73393C88"/>
    <w:rsid w:val="7362513F"/>
    <w:rsid w:val="736612A1"/>
    <w:rsid w:val="73771D49"/>
    <w:rsid w:val="73846894"/>
    <w:rsid w:val="738B299C"/>
    <w:rsid w:val="73A1354E"/>
    <w:rsid w:val="73CB7009"/>
    <w:rsid w:val="73F12089"/>
    <w:rsid w:val="73FE05FF"/>
    <w:rsid w:val="73FE4ED9"/>
    <w:rsid w:val="743D3AC4"/>
    <w:rsid w:val="747D20BB"/>
    <w:rsid w:val="74A11E7D"/>
    <w:rsid w:val="74AE727B"/>
    <w:rsid w:val="74EC1DD5"/>
    <w:rsid w:val="75590B0A"/>
    <w:rsid w:val="758075D4"/>
    <w:rsid w:val="7582279F"/>
    <w:rsid w:val="75843EB5"/>
    <w:rsid w:val="75BB71AF"/>
    <w:rsid w:val="75F01962"/>
    <w:rsid w:val="760E19DF"/>
    <w:rsid w:val="762A586E"/>
    <w:rsid w:val="764E52E0"/>
    <w:rsid w:val="76557F3E"/>
    <w:rsid w:val="76676A53"/>
    <w:rsid w:val="76A3294D"/>
    <w:rsid w:val="76B620A1"/>
    <w:rsid w:val="76D0016F"/>
    <w:rsid w:val="76E51777"/>
    <w:rsid w:val="76F20814"/>
    <w:rsid w:val="77050D7C"/>
    <w:rsid w:val="77462524"/>
    <w:rsid w:val="77854826"/>
    <w:rsid w:val="779A6594"/>
    <w:rsid w:val="77A21064"/>
    <w:rsid w:val="77E34EB2"/>
    <w:rsid w:val="781564B8"/>
    <w:rsid w:val="78224ACF"/>
    <w:rsid w:val="782A3DBC"/>
    <w:rsid w:val="783751ED"/>
    <w:rsid w:val="78C7099A"/>
    <w:rsid w:val="78CD6DCC"/>
    <w:rsid w:val="78D07CAF"/>
    <w:rsid w:val="78DE12D7"/>
    <w:rsid w:val="79055F9C"/>
    <w:rsid w:val="79202AC9"/>
    <w:rsid w:val="79210683"/>
    <w:rsid w:val="79535D1B"/>
    <w:rsid w:val="796A5940"/>
    <w:rsid w:val="79936B04"/>
    <w:rsid w:val="799C3465"/>
    <w:rsid w:val="79B14EC4"/>
    <w:rsid w:val="7A2A6B4A"/>
    <w:rsid w:val="7A3C3A9A"/>
    <w:rsid w:val="7A681070"/>
    <w:rsid w:val="7A860C7C"/>
    <w:rsid w:val="7A951BAA"/>
    <w:rsid w:val="7AB879FE"/>
    <w:rsid w:val="7AC21415"/>
    <w:rsid w:val="7AC75981"/>
    <w:rsid w:val="7B1B7885"/>
    <w:rsid w:val="7B272C86"/>
    <w:rsid w:val="7B3264DD"/>
    <w:rsid w:val="7B4D1359"/>
    <w:rsid w:val="7B664481"/>
    <w:rsid w:val="7B81188A"/>
    <w:rsid w:val="7B9E2902"/>
    <w:rsid w:val="7BC854E2"/>
    <w:rsid w:val="7BC938EC"/>
    <w:rsid w:val="7C0562EC"/>
    <w:rsid w:val="7C067A45"/>
    <w:rsid w:val="7C0B2A10"/>
    <w:rsid w:val="7C27683F"/>
    <w:rsid w:val="7CAE2219"/>
    <w:rsid w:val="7CB14B4D"/>
    <w:rsid w:val="7CF26969"/>
    <w:rsid w:val="7D25523C"/>
    <w:rsid w:val="7D2953E6"/>
    <w:rsid w:val="7D7A3EEC"/>
    <w:rsid w:val="7DAA6C39"/>
    <w:rsid w:val="7DB23041"/>
    <w:rsid w:val="7DD86484"/>
    <w:rsid w:val="7E163D6A"/>
    <w:rsid w:val="7E2120FB"/>
    <w:rsid w:val="7E412630"/>
    <w:rsid w:val="7E5F7809"/>
    <w:rsid w:val="7E870BA6"/>
    <w:rsid w:val="7EC06781"/>
    <w:rsid w:val="7ED56C53"/>
    <w:rsid w:val="7EEA1BAF"/>
    <w:rsid w:val="7F20421C"/>
    <w:rsid w:val="7F5460D4"/>
    <w:rsid w:val="7F552892"/>
    <w:rsid w:val="7F8F5B55"/>
    <w:rsid w:val="7FD15799"/>
    <w:rsid w:val="7FE916E7"/>
    <w:rsid w:val="7FFB064F"/>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47"/>
    <w:qFormat/>
    <w:uiPriority w:val="9"/>
    <w:pPr>
      <w:keepNext/>
      <w:keepLines/>
      <w:jc w:val="center"/>
      <w:outlineLvl w:val="0"/>
    </w:pPr>
    <w:rPr>
      <w:b/>
      <w:bCs/>
      <w:kern w:val="44"/>
      <w:sz w:val="36"/>
      <w:szCs w:val="44"/>
    </w:rPr>
  </w:style>
  <w:style w:type="paragraph" w:styleId="5">
    <w:name w:val="heading 2"/>
    <w:basedOn w:val="1"/>
    <w:next w:val="1"/>
    <w:link w:val="48"/>
    <w:qFormat/>
    <w:uiPriority w:val="9"/>
    <w:pPr>
      <w:keepNext/>
      <w:keepLines/>
      <w:spacing w:line="360" w:lineRule="auto"/>
      <w:outlineLvl w:val="1"/>
    </w:pPr>
    <w:rPr>
      <w:rFonts w:ascii="Arial" w:hAnsi="Arial" w:eastAsia="宋体" w:cs="Times New Roman"/>
      <w:b/>
      <w:bCs/>
      <w:sz w:val="24"/>
      <w:szCs w:val="32"/>
    </w:rPr>
  </w:style>
  <w:style w:type="paragraph" w:styleId="6">
    <w:name w:val="heading 3"/>
    <w:basedOn w:val="1"/>
    <w:next w:val="1"/>
    <w:link w:val="49"/>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7">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38">
    <w:name w:val="Default Paragraph Font"/>
    <w:semiHidden/>
    <w:unhideWhenUsed/>
    <w:qFormat/>
    <w:uiPriority w:val="1"/>
  </w:style>
  <w:style w:type="table" w:default="1" w:styleId="3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82"/>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3">
    <w:name w:val="Body Text Indent"/>
    <w:basedOn w:val="1"/>
    <w:link w:val="79"/>
    <w:qFormat/>
    <w:uiPriority w:val="99"/>
    <w:pPr>
      <w:spacing w:after="120"/>
      <w:ind w:left="420" w:leftChars="200"/>
    </w:pPr>
    <w:rPr>
      <w:rFonts w:ascii="Calibri" w:hAnsi="Calibri" w:eastAsia="宋体" w:cs="Times New Roman"/>
      <w:szCs w:val="20"/>
    </w:rPr>
  </w:style>
  <w:style w:type="paragraph" w:styleId="8">
    <w:name w:val="toc 7"/>
    <w:basedOn w:val="1"/>
    <w:next w:val="1"/>
    <w:qFormat/>
    <w:uiPriority w:val="39"/>
    <w:pPr>
      <w:ind w:left="1440"/>
      <w:jc w:val="left"/>
    </w:pPr>
    <w:rPr>
      <w:rFonts w:ascii="Calibri" w:hAnsi="Calibri" w:eastAsia="宋体" w:cs="Times New Roman"/>
      <w:sz w:val="18"/>
      <w:szCs w:val="18"/>
    </w:rPr>
  </w:style>
  <w:style w:type="paragraph" w:styleId="9">
    <w:name w:val="caption"/>
    <w:basedOn w:val="1"/>
    <w:next w:val="1"/>
    <w:qFormat/>
    <w:uiPriority w:val="35"/>
    <w:pPr>
      <w:spacing w:before="152" w:after="160"/>
    </w:pPr>
    <w:rPr>
      <w:rFonts w:ascii="Arial" w:hAnsi="Arial" w:eastAsia="黑体" w:cs="Arial"/>
      <w:sz w:val="20"/>
      <w:szCs w:val="20"/>
    </w:rPr>
  </w:style>
  <w:style w:type="paragraph" w:styleId="10">
    <w:name w:val="Document Map"/>
    <w:basedOn w:val="1"/>
    <w:link w:val="70"/>
    <w:qFormat/>
    <w:uiPriority w:val="0"/>
    <w:pPr>
      <w:shd w:val="clear" w:color="auto" w:fill="000080"/>
    </w:pPr>
    <w:rPr>
      <w:sz w:val="24"/>
    </w:rPr>
  </w:style>
  <w:style w:type="paragraph" w:styleId="11">
    <w:name w:val="toa heading"/>
    <w:basedOn w:val="1"/>
    <w:next w:val="1"/>
    <w:qFormat/>
    <w:uiPriority w:val="99"/>
    <w:pPr>
      <w:spacing w:before="120"/>
    </w:pPr>
    <w:rPr>
      <w:rFonts w:ascii="Arial" w:hAnsi="Arial" w:eastAsia="宋体" w:cs="Arial"/>
      <w:sz w:val="24"/>
      <w:szCs w:val="24"/>
    </w:rPr>
  </w:style>
  <w:style w:type="paragraph" w:styleId="12">
    <w:name w:val="annotation text"/>
    <w:basedOn w:val="1"/>
    <w:link w:val="61"/>
    <w:qFormat/>
    <w:uiPriority w:val="0"/>
    <w:pPr>
      <w:jc w:val="left"/>
    </w:pPr>
  </w:style>
  <w:style w:type="paragraph" w:styleId="13">
    <w:name w:val="index 4"/>
    <w:basedOn w:val="1"/>
    <w:next w:val="1"/>
    <w:qFormat/>
    <w:uiPriority w:val="0"/>
    <w:pPr>
      <w:ind w:left="600" w:leftChars="600"/>
    </w:pPr>
  </w:style>
  <w:style w:type="paragraph" w:styleId="14">
    <w:name w:val="toc 5"/>
    <w:basedOn w:val="1"/>
    <w:next w:val="1"/>
    <w:qFormat/>
    <w:uiPriority w:val="39"/>
    <w:pPr>
      <w:ind w:left="960"/>
      <w:jc w:val="left"/>
    </w:pPr>
    <w:rPr>
      <w:rFonts w:ascii="Calibri" w:hAnsi="Calibri" w:eastAsia="宋体" w:cs="Times New Roman"/>
      <w:sz w:val="18"/>
      <w:szCs w:val="18"/>
    </w:rPr>
  </w:style>
  <w:style w:type="paragraph" w:styleId="15">
    <w:name w:val="toc 3"/>
    <w:basedOn w:val="1"/>
    <w:next w:val="1"/>
    <w:qFormat/>
    <w:uiPriority w:val="39"/>
    <w:pPr>
      <w:ind w:left="480"/>
      <w:jc w:val="left"/>
    </w:pPr>
    <w:rPr>
      <w:rFonts w:ascii="Calibri" w:hAnsi="Calibri" w:eastAsia="宋体" w:cs="Times New Roman"/>
      <w:i/>
      <w:iCs/>
      <w:sz w:val="20"/>
      <w:szCs w:val="20"/>
    </w:rPr>
  </w:style>
  <w:style w:type="paragraph" w:styleId="16">
    <w:name w:val="Plain Text"/>
    <w:basedOn w:val="1"/>
    <w:link w:val="72"/>
    <w:qFormat/>
    <w:uiPriority w:val="0"/>
    <w:rPr>
      <w:rFonts w:ascii="宋体" w:hAnsi="Courier New"/>
    </w:rPr>
  </w:style>
  <w:style w:type="paragraph" w:styleId="17">
    <w:name w:val="toc 8"/>
    <w:basedOn w:val="1"/>
    <w:next w:val="1"/>
    <w:qFormat/>
    <w:uiPriority w:val="39"/>
    <w:pPr>
      <w:ind w:left="1680"/>
      <w:jc w:val="left"/>
    </w:pPr>
    <w:rPr>
      <w:rFonts w:ascii="Calibri" w:hAnsi="Calibri" w:eastAsia="宋体" w:cs="Times New Roman"/>
      <w:sz w:val="18"/>
      <w:szCs w:val="18"/>
    </w:rPr>
  </w:style>
  <w:style w:type="paragraph" w:styleId="18">
    <w:name w:val="Date"/>
    <w:basedOn w:val="1"/>
    <w:next w:val="1"/>
    <w:link w:val="63"/>
    <w:qFormat/>
    <w:uiPriority w:val="0"/>
    <w:pPr>
      <w:ind w:left="100" w:leftChars="2500"/>
    </w:pPr>
    <w:rPr>
      <w:sz w:val="24"/>
    </w:rPr>
  </w:style>
  <w:style w:type="paragraph" w:styleId="19">
    <w:name w:val="Body Text Indent 2"/>
    <w:basedOn w:val="1"/>
    <w:link w:val="51"/>
    <w:qFormat/>
    <w:uiPriority w:val="0"/>
    <w:pPr>
      <w:spacing w:after="120" w:line="480" w:lineRule="auto"/>
      <w:ind w:left="420" w:leftChars="200"/>
    </w:pPr>
  </w:style>
  <w:style w:type="paragraph" w:styleId="20">
    <w:name w:val="Balloon Text"/>
    <w:basedOn w:val="1"/>
    <w:link w:val="67"/>
    <w:qFormat/>
    <w:uiPriority w:val="0"/>
    <w:rPr>
      <w:sz w:val="18"/>
    </w:rPr>
  </w:style>
  <w:style w:type="paragraph" w:styleId="21">
    <w:name w:val="footer"/>
    <w:basedOn w:val="1"/>
    <w:link w:val="73"/>
    <w:qFormat/>
    <w:uiPriority w:val="99"/>
    <w:pPr>
      <w:tabs>
        <w:tab w:val="center" w:pos="4153"/>
        <w:tab w:val="right" w:pos="8306"/>
      </w:tabs>
      <w:snapToGrid w:val="0"/>
      <w:jc w:val="left"/>
    </w:pPr>
    <w:rPr>
      <w:sz w:val="18"/>
    </w:rPr>
  </w:style>
  <w:style w:type="paragraph" w:styleId="22">
    <w:name w:val="header"/>
    <w:basedOn w:val="1"/>
    <w:link w:val="59"/>
    <w:qFormat/>
    <w:uiPriority w:val="0"/>
    <w:pPr>
      <w:pBdr>
        <w:bottom w:val="single" w:color="auto" w:sz="6" w:space="1"/>
      </w:pBdr>
      <w:tabs>
        <w:tab w:val="center" w:pos="4153"/>
        <w:tab w:val="right" w:pos="8306"/>
      </w:tabs>
      <w:snapToGrid w:val="0"/>
      <w:jc w:val="center"/>
    </w:pPr>
    <w:rPr>
      <w:sz w:val="18"/>
    </w:rPr>
  </w:style>
  <w:style w:type="paragraph" w:styleId="23">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4">
    <w:name w:val="toc 4"/>
    <w:basedOn w:val="1"/>
    <w:next w:val="1"/>
    <w:qFormat/>
    <w:uiPriority w:val="39"/>
    <w:pPr>
      <w:ind w:left="720"/>
      <w:jc w:val="left"/>
    </w:pPr>
    <w:rPr>
      <w:rFonts w:ascii="Calibri" w:hAnsi="Calibri" w:eastAsia="宋体" w:cs="Times New Roman"/>
      <w:sz w:val="18"/>
      <w:szCs w:val="18"/>
    </w:rPr>
  </w:style>
  <w:style w:type="paragraph" w:styleId="25">
    <w:name w:val="List"/>
    <w:basedOn w:val="1"/>
    <w:qFormat/>
    <w:uiPriority w:val="99"/>
    <w:pPr>
      <w:ind w:left="420" w:hanging="420"/>
    </w:pPr>
    <w:rPr>
      <w:rFonts w:ascii="Times New Roman" w:hAnsi="Times New Roman" w:eastAsia="宋体" w:cs="Times New Roman"/>
      <w:szCs w:val="20"/>
    </w:rPr>
  </w:style>
  <w:style w:type="paragraph" w:styleId="26">
    <w:name w:val="toc 6"/>
    <w:basedOn w:val="1"/>
    <w:next w:val="1"/>
    <w:qFormat/>
    <w:uiPriority w:val="39"/>
    <w:pPr>
      <w:ind w:left="1200"/>
      <w:jc w:val="left"/>
    </w:pPr>
    <w:rPr>
      <w:rFonts w:ascii="Calibri" w:hAnsi="Calibri" w:eastAsia="宋体" w:cs="Times New Roman"/>
      <w:sz w:val="18"/>
      <w:szCs w:val="18"/>
    </w:rPr>
  </w:style>
  <w:style w:type="paragraph" w:styleId="27">
    <w:name w:val="Body Text Indent 3"/>
    <w:basedOn w:val="1"/>
    <w:link w:val="53"/>
    <w:qFormat/>
    <w:uiPriority w:val="0"/>
    <w:pPr>
      <w:spacing w:after="120"/>
      <w:ind w:left="420" w:leftChars="200"/>
    </w:pPr>
    <w:rPr>
      <w:sz w:val="16"/>
    </w:rPr>
  </w:style>
  <w:style w:type="paragraph" w:styleId="28">
    <w:name w:val="toc 2"/>
    <w:basedOn w:val="1"/>
    <w:next w:val="1"/>
    <w:unhideWhenUsed/>
    <w:qFormat/>
    <w:uiPriority w:val="39"/>
    <w:pPr>
      <w:ind w:left="420" w:leftChars="200"/>
    </w:pPr>
    <w:rPr>
      <w:rFonts w:ascii="Calibri" w:hAnsi="Calibri" w:eastAsia="宋体" w:cs="Times New Roman"/>
      <w:szCs w:val="20"/>
    </w:rPr>
  </w:style>
  <w:style w:type="paragraph" w:styleId="29">
    <w:name w:val="toc 9"/>
    <w:basedOn w:val="1"/>
    <w:next w:val="1"/>
    <w:qFormat/>
    <w:uiPriority w:val="39"/>
    <w:pPr>
      <w:ind w:left="1920"/>
      <w:jc w:val="left"/>
    </w:pPr>
    <w:rPr>
      <w:rFonts w:ascii="Calibri" w:hAnsi="Calibri" w:eastAsia="宋体" w:cs="Times New Roman"/>
      <w:sz w:val="18"/>
      <w:szCs w:val="18"/>
    </w:rPr>
  </w:style>
  <w:style w:type="paragraph" w:styleId="30">
    <w:name w:val="Normal (Web)"/>
    <w:basedOn w:val="1"/>
    <w:qFormat/>
    <w:uiPriority w:val="99"/>
    <w:rPr>
      <w:rFonts w:ascii="Calibri" w:hAnsi="Calibri" w:eastAsia="宋体" w:cs="Times New Roman"/>
      <w:sz w:val="24"/>
      <w:szCs w:val="20"/>
    </w:rPr>
  </w:style>
  <w:style w:type="paragraph" w:styleId="31">
    <w:name w:val="index 1"/>
    <w:basedOn w:val="1"/>
    <w:next w:val="1"/>
    <w:qFormat/>
    <w:uiPriority w:val="99"/>
    <w:rPr>
      <w:rFonts w:ascii="Calibri" w:hAnsi="Calibri" w:eastAsia="宋体" w:cs="Times New Roman"/>
      <w:sz w:val="24"/>
      <w:szCs w:val="24"/>
    </w:rPr>
  </w:style>
  <w:style w:type="paragraph" w:styleId="32">
    <w:name w:val="Title"/>
    <w:basedOn w:val="1"/>
    <w:next w:val="1"/>
    <w:link w:val="62"/>
    <w:qFormat/>
    <w:uiPriority w:val="0"/>
    <w:pPr>
      <w:spacing w:before="160" w:after="40" w:line="240" w:lineRule="atLeast"/>
      <w:ind w:left="425" w:hanging="425"/>
      <w:jc w:val="center"/>
      <w:outlineLvl w:val="0"/>
    </w:pPr>
    <w:rPr>
      <w:rFonts w:ascii="Arial" w:hAnsi="Arial"/>
      <w:b/>
      <w:sz w:val="32"/>
    </w:rPr>
  </w:style>
  <w:style w:type="paragraph" w:styleId="33">
    <w:name w:val="annotation subject"/>
    <w:basedOn w:val="12"/>
    <w:next w:val="12"/>
    <w:link w:val="52"/>
    <w:qFormat/>
    <w:uiPriority w:val="0"/>
    <w:rPr>
      <w:b/>
    </w:rPr>
  </w:style>
  <w:style w:type="paragraph" w:styleId="34">
    <w:name w:val="Body Text First Indent"/>
    <w:basedOn w:val="2"/>
    <w:qFormat/>
    <w:uiPriority w:val="0"/>
    <w:pPr>
      <w:ind w:firstLine="420" w:firstLineChars="100"/>
    </w:pPr>
  </w:style>
  <w:style w:type="paragraph" w:styleId="35">
    <w:name w:val="Body Text First Indent 2"/>
    <w:basedOn w:val="3"/>
    <w:semiHidden/>
    <w:qFormat/>
    <w:uiPriority w:val="99"/>
    <w:pPr>
      <w:spacing w:line="276" w:lineRule="auto"/>
      <w:ind w:firstLine="420" w:firstLineChars="200"/>
      <w:jc w:val="left"/>
    </w:pPr>
  </w:style>
  <w:style w:type="table" w:styleId="37">
    <w:name w:val="Table Grid"/>
    <w:basedOn w:val="3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9">
    <w:name w:val="Strong"/>
    <w:basedOn w:val="38"/>
    <w:qFormat/>
    <w:uiPriority w:val="22"/>
    <w:rPr>
      <w:b/>
    </w:rPr>
  </w:style>
  <w:style w:type="character" w:styleId="40">
    <w:name w:val="page number"/>
    <w:basedOn w:val="38"/>
    <w:qFormat/>
    <w:uiPriority w:val="99"/>
    <w:rPr>
      <w:rFonts w:cs="Times New Roman"/>
    </w:rPr>
  </w:style>
  <w:style w:type="character" w:styleId="41">
    <w:name w:val="FollowedHyperlink"/>
    <w:basedOn w:val="38"/>
    <w:qFormat/>
    <w:uiPriority w:val="99"/>
    <w:rPr>
      <w:color w:val="800080"/>
      <w:u w:val="single"/>
    </w:rPr>
  </w:style>
  <w:style w:type="character" w:styleId="42">
    <w:name w:val="Emphasis"/>
    <w:qFormat/>
    <w:uiPriority w:val="99"/>
    <w:rPr>
      <w:rFonts w:cs="Times New Roman"/>
      <w:color w:val="auto"/>
    </w:rPr>
  </w:style>
  <w:style w:type="character" w:styleId="43">
    <w:name w:val="HTML Acronym"/>
    <w:basedOn w:val="38"/>
    <w:qFormat/>
    <w:uiPriority w:val="99"/>
  </w:style>
  <w:style w:type="character" w:styleId="44">
    <w:name w:val="Hyperlink"/>
    <w:basedOn w:val="38"/>
    <w:qFormat/>
    <w:uiPriority w:val="99"/>
    <w:rPr>
      <w:color w:val="1F4F88"/>
      <w:u w:val="none"/>
    </w:rPr>
  </w:style>
  <w:style w:type="character" w:styleId="45">
    <w:name w:val="annotation reference"/>
    <w:basedOn w:val="38"/>
    <w:qFormat/>
    <w:uiPriority w:val="99"/>
    <w:rPr>
      <w:sz w:val="21"/>
    </w:rPr>
  </w:style>
  <w:style w:type="paragraph" w:customStyle="1" w:styleId="46">
    <w:name w:val="Fließtext"/>
    <w:basedOn w:val="1"/>
    <w:qFormat/>
    <w:uiPriority w:val="99"/>
    <w:pPr>
      <w:widowControl/>
      <w:ind w:left="1134"/>
      <w:jc w:val="left"/>
    </w:pPr>
    <w:rPr>
      <w:rFonts w:ascii="Arial" w:hAnsi="Arial"/>
      <w:kern w:val="0"/>
      <w:szCs w:val="20"/>
      <w:lang w:val="de-DE" w:eastAsia="de-DE"/>
    </w:rPr>
  </w:style>
  <w:style w:type="character" w:customStyle="1" w:styleId="47">
    <w:name w:val="标题 1 Char"/>
    <w:basedOn w:val="38"/>
    <w:link w:val="4"/>
    <w:qFormat/>
    <w:uiPriority w:val="9"/>
    <w:rPr>
      <w:rFonts w:ascii="Calibri" w:hAnsi="Calibri" w:eastAsia="宋体" w:cs="Times New Roman"/>
      <w:b/>
      <w:bCs/>
      <w:kern w:val="44"/>
      <w:sz w:val="36"/>
      <w:szCs w:val="44"/>
    </w:rPr>
  </w:style>
  <w:style w:type="character" w:customStyle="1" w:styleId="48">
    <w:name w:val="标题 2 Char"/>
    <w:basedOn w:val="38"/>
    <w:link w:val="5"/>
    <w:qFormat/>
    <w:uiPriority w:val="9"/>
    <w:rPr>
      <w:rFonts w:ascii="Arial" w:hAnsi="Arial" w:eastAsia="宋体" w:cs="Times New Roman"/>
      <w:b/>
      <w:bCs/>
      <w:sz w:val="24"/>
      <w:szCs w:val="32"/>
    </w:rPr>
  </w:style>
  <w:style w:type="character" w:customStyle="1" w:styleId="49">
    <w:name w:val="标题 3 Char"/>
    <w:basedOn w:val="38"/>
    <w:link w:val="6"/>
    <w:semiHidden/>
    <w:qFormat/>
    <w:uiPriority w:val="9"/>
    <w:rPr>
      <w:rFonts w:ascii="Calibri" w:hAnsi="Calibri" w:eastAsia="宋体" w:cs="Times New Roman"/>
      <w:b/>
      <w:bCs/>
      <w:sz w:val="32"/>
      <w:szCs w:val="32"/>
    </w:rPr>
  </w:style>
  <w:style w:type="character" w:customStyle="1" w:styleId="50">
    <w:name w:val="Char Char3"/>
    <w:qFormat/>
    <w:uiPriority w:val="0"/>
    <w:rPr>
      <w:rFonts w:ascii="宋体" w:hAnsi="Courier New" w:eastAsia="宋体"/>
      <w:kern w:val="2"/>
      <w:sz w:val="21"/>
      <w:lang w:val="en-US" w:eastAsia="zh-CN"/>
    </w:rPr>
  </w:style>
  <w:style w:type="character" w:customStyle="1" w:styleId="51">
    <w:name w:val="正文文本缩进 2 Char"/>
    <w:link w:val="19"/>
    <w:qFormat/>
    <w:locked/>
    <w:uiPriority w:val="0"/>
  </w:style>
  <w:style w:type="character" w:customStyle="1" w:styleId="52">
    <w:name w:val="批注主题 Char1"/>
    <w:link w:val="33"/>
    <w:qFormat/>
    <w:locked/>
    <w:uiPriority w:val="0"/>
    <w:rPr>
      <w:b/>
    </w:rPr>
  </w:style>
  <w:style w:type="character" w:customStyle="1" w:styleId="53">
    <w:name w:val="正文文本缩进 3 Char"/>
    <w:link w:val="27"/>
    <w:qFormat/>
    <w:locked/>
    <w:uiPriority w:val="0"/>
    <w:rPr>
      <w:sz w:val="16"/>
    </w:rPr>
  </w:style>
  <w:style w:type="character" w:customStyle="1" w:styleId="54">
    <w:name w:val="纯文本 Char"/>
    <w:qFormat/>
    <w:uiPriority w:val="0"/>
    <w:rPr>
      <w:rFonts w:ascii="宋体" w:hAnsi="Courier New" w:eastAsia="宋体"/>
      <w:kern w:val="2"/>
      <w:sz w:val="21"/>
      <w:lang w:val="en-US" w:eastAsia="zh-CN"/>
    </w:rPr>
  </w:style>
  <w:style w:type="character" w:customStyle="1" w:styleId="55">
    <w:name w:val="Char Char2"/>
    <w:qFormat/>
    <w:uiPriority w:val="0"/>
    <w:rPr>
      <w:rFonts w:ascii="宋体" w:hAnsi="Courier New"/>
      <w:kern w:val="2"/>
      <w:sz w:val="21"/>
    </w:rPr>
  </w:style>
  <w:style w:type="character" w:customStyle="1" w:styleId="56">
    <w:name w:val="列出段落 字符"/>
    <w:link w:val="57"/>
    <w:qFormat/>
    <w:locked/>
    <w:uiPriority w:val="34"/>
    <w:rPr>
      <w:sz w:val="22"/>
    </w:rPr>
  </w:style>
  <w:style w:type="paragraph" w:customStyle="1" w:styleId="57">
    <w:name w:val="列出段落1"/>
    <w:basedOn w:val="1"/>
    <w:link w:val="56"/>
    <w:qFormat/>
    <w:uiPriority w:val="34"/>
    <w:pPr>
      <w:ind w:firstLine="420" w:firstLineChars="200"/>
    </w:pPr>
    <w:rPr>
      <w:sz w:val="22"/>
    </w:rPr>
  </w:style>
  <w:style w:type="character" w:customStyle="1" w:styleId="58">
    <w:name w:val="apple-converted-space"/>
    <w:basedOn w:val="38"/>
    <w:qFormat/>
    <w:uiPriority w:val="0"/>
    <w:rPr>
      <w:rFonts w:cs="Times New Roman"/>
    </w:rPr>
  </w:style>
  <w:style w:type="character" w:customStyle="1" w:styleId="59">
    <w:name w:val="页眉 Char"/>
    <w:link w:val="22"/>
    <w:qFormat/>
    <w:locked/>
    <w:uiPriority w:val="0"/>
    <w:rPr>
      <w:sz w:val="18"/>
    </w:rPr>
  </w:style>
  <w:style w:type="character" w:customStyle="1" w:styleId="60">
    <w:name w:val="BODY TEXT Char"/>
    <w:qFormat/>
    <w:locked/>
    <w:uiPriority w:val="0"/>
    <w:rPr>
      <w:rFonts w:eastAsia="新宋体"/>
      <w:kern w:val="2"/>
      <w:sz w:val="21"/>
    </w:rPr>
  </w:style>
  <w:style w:type="character" w:customStyle="1" w:styleId="61">
    <w:name w:val="批注文字 Char1"/>
    <w:link w:val="12"/>
    <w:qFormat/>
    <w:locked/>
    <w:uiPriority w:val="0"/>
  </w:style>
  <w:style w:type="character" w:customStyle="1" w:styleId="62">
    <w:name w:val="标题 Char"/>
    <w:link w:val="32"/>
    <w:qFormat/>
    <w:locked/>
    <w:uiPriority w:val="0"/>
    <w:rPr>
      <w:rFonts w:ascii="Arial" w:hAnsi="Arial"/>
      <w:b/>
      <w:sz w:val="32"/>
    </w:rPr>
  </w:style>
  <w:style w:type="character" w:customStyle="1" w:styleId="63">
    <w:name w:val="日期 Char"/>
    <w:link w:val="18"/>
    <w:qFormat/>
    <w:locked/>
    <w:uiPriority w:val="0"/>
    <w:rPr>
      <w:sz w:val="24"/>
    </w:rPr>
  </w:style>
  <w:style w:type="character" w:customStyle="1" w:styleId="64">
    <w:name w:val="ATXT_Bullets Zchn"/>
    <w:link w:val="65"/>
    <w:qFormat/>
    <w:locked/>
    <w:uiPriority w:val="99"/>
    <w:rPr>
      <w:rFonts w:ascii="Arial" w:hAnsi="Arial"/>
      <w:lang w:val="de-AT" w:eastAsia="zh-CN"/>
    </w:rPr>
  </w:style>
  <w:style w:type="paragraph" w:customStyle="1" w:styleId="65">
    <w:name w:val="ATXT_Bullets"/>
    <w:link w:val="64"/>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6">
    <w:name w:val="Char Char5"/>
    <w:qFormat/>
    <w:uiPriority w:val="0"/>
    <w:rPr>
      <w:rFonts w:ascii="宋体" w:hAnsi="Courier New" w:eastAsia="宋体"/>
      <w:kern w:val="2"/>
      <w:sz w:val="21"/>
      <w:lang w:val="en-US" w:eastAsia="zh-CN"/>
    </w:rPr>
  </w:style>
  <w:style w:type="character" w:customStyle="1" w:styleId="67">
    <w:name w:val="批注框文本 Char"/>
    <w:link w:val="20"/>
    <w:qFormat/>
    <w:locked/>
    <w:uiPriority w:val="0"/>
    <w:rPr>
      <w:sz w:val="18"/>
    </w:rPr>
  </w:style>
  <w:style w:type="character" w:customStyle="1" w:styleId="68">
    <w:name w:val="批注文字 Char"/>
    <w:qFormat/>
    <w:uiPriority w:val="0"/>
    <w:rPr>
      <w:kern w:val="2"/>
    </w:rPr>
  </w:style>
  <w:style w:type="character" w:customStyle="1" w:styleId="69">
    <w:name w:val="批注主题 Char"/>
    <w:qFormat/>
    <w:uiPriority w:val="0"/>
    <w:rPr>
      <w:b/>
      <w:kern w:val="2"/>
    </w:rPr>
  </w:style>
  <w:style w:type="character" w:customStyle="1" w:styleId="70">
    <w:name w:val="文档结构图 Char"/>
    <w:link w:val="10"/>
    <w:qFormat/>
    <w:locked/>
    <w:uiPriority w:val="0"/>
    <w:rPr>
      <w:sz w:val="24"/>
      <w:shd w:val="clear" w:color="auto" w:fill="000080"/>
    </w:rPr>
  </w:style>
  <w:style w:type="character" w:customStyle="1" w:styleId="71">
    <w:name w:val="HTML Markup"/>
    <w:qFormat/>
    <w:uiPriority w:val="0"/>
    <w:rPr>
      <w:vanish/>
      <w:color w:val="FF0000"/>
    </w:rPr>
  </w:style>
  <w:style w:type="character" w:customStyle="1" w:styleId="72">
    <w:name w:val="纯文本 Char1"/>
    <w:link w:val="16"/>
    <w:qFormat/>
    <w:locked/>
    <w:uiPriority w:val="0"/>
    <w:rPr>
      <w:rFonts w:ascii="宋体" w:hAnsi="Courier New"/>
    </w:rPr>
  </w:style>
  <w:style w:type="character" w:customStyle="1" w:styleId="73">
    <w:name w:val="页脚 Char1"/>
    <w:link w:val="21"/>
    <w:qFormat/>
    <w:locked/>
    <w:uiPriority w:val="99"/>
    <w:rPr>
      <w:sz w:val="18"/>
    </w:rPr>
  </w:style>
  <w:style w:type="character" w:customStyle="1" w:styleId="74">
    <w:name w:val="Default Char"/>
    <w:link w:val="75"/>
    <w:qFormat/>
    <w:locked/>
    <w:uiPriority w:val="0"/>
    <w:rPr>
      <w:rFonts w:ascii="仿宋_GB2312" w:eastAsia="仿宋_GB2312"/>
      <w:color w:val="000000"/>
      <w:sz w:val="24"/>
    </w:rPr>
  </w:style>
  <w:style w:type="paragraph" w:customStyle="1" w:styleId="75">
    <w:name w:val="Default"/>
    <w:link w:val="74"/>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6">
    <w:name w:val="页脚 Char"/>
    <w:qFormat/>
    <w:locked/>
    <w:uiPriority w:val="99"/>
    <w:rPr>
      <w:sz w:val="18"/>
    </w:rPr>
  </w:style>
  <w:style w:type="character" w:customStyle="1" w:styleId="77">
    <w:name w:val="批注文字 字符1"/>
    <w:basedOn w:val="38"/>
    <w:semiHidden/>
    <w:qFormat/>
    <w:uiPriority w:val="99"/>
  </w:style>
  <w:style w:type="character" w:customStyle="1" w:styleId="78">
    <w:name w:val="批注文字 字符11"/>
    <w:basedOn w:val="38"/>
    <w:qFormat/>
    <w:uiPriority w:val="0"/>
    <w:rPr>
      <w:rFonts w:cs="Times New Roman"/>
      <w:kern w:val="2"/>
      <w:sz w:val="21"/>
    </w:rPr>
  </w:style>
  <w:style w:type="character" w:customStyle="1" w:styleId="79">
    <w:name w:val="正文文本缩进 Char"/>
    <w:basedOn w:val="38"/>
    <w:link w:val="3"/>
    <w:qFormat/>
    <w:uiPriority w:val="99"/>
    <w:rPr>
      <w:rFonts w:ascii="Calibri" w:hAnsi="Calibri" w:eastAsia="宋体" w:cs="Times New Roman"/>
      <w:szCs w:val="20"/>
    </w:rPr>
  </w:style>
  <w:style w:type="character" w:customStyle="1" w:styleId="80">
    <w:name w:val="文档结构图 字符1"/>
    <w:basedOn w:val="38"/>
    <w:semiHidden/>
    <w:qFormat/>
    <w:uiPriority w:val="99"/>
    <w:rPr>
      <w:rFonts w:ascii="Microsoft YaHei UI" w:eastAsia="Microsoft YaHei UI"/>
      <w:sz w:val="18"/>
      <w:szCs w:val="18"/>
    </w:rPr>
  </w:style>
  <w:style w:type="character" w:customStyle="1" w:styleId="81">
    <w:name w:val="文档结构图 字符11"/>
    <w:basedOn w:val="38"/>
    <w:semiHidden/>
    <w:qFormat/>
    <w:uiPriority w:val="99"/>
    <w:rPr>
      <w:rFonts w:ascii="Microsoft YaHei UI" w:eastAsia="Microsoft YaHei UI" w:cs="Times New Roman"/>
      <w:kern w:val="2"/>
      <w:sz w:val="18"/>
      <w:szCs w:val="18"/>
    </w:rPr>
  </w:style>
  <w:style w:type="character" w:customStyle="1" w:styleId="82">
    <w:name w:val="正文文本 Char"/>
    <w:basedOn w:val="38"/>
    <w:link w:val="2"/>
    <w:qFormat/>
    <w:uiPriority w:val="99"/>
    <w:rPr>
      <w:rFonts w:ascii="Calibri" w:hAnsi="Calibri" w:eastAsia="新宋体" w:cs="Times New Roman"/>
      <w:szCs w:val="21"/>
    </w:rPr>
  </w:style>
  <w:style w:type="character" w:customStyle="1" w:styleId="83">
    <w:name w:val="纯文本 字符1"/>
    <w:basedOn w:val="38"/>
    <w:semiHidden/>
    <w:qFormat/>
    <w:uiPriority w:val="99"/>
    <w:rPr>
      <w:rFonts w:hAnsi="Courier New" w:cs="Courier New" w:asciiTheme="minorEastAsia"/>
    </w:rPr>
  </w:style>
  <w:style w:type="character" w:customStyle="1" w:styleId="84">
    <w:name w:val="纯文本 字符11"/>
    <w:basedOn w:val="38"/>
    <w:qFormat/>
    <w:uiPriority w:val="0"/>
    <w:rPr>
      <w:rFonts w:hAnsi="Courier New" w:cs="Courier New" w:asciiTheme="minorEastAsia" w:eastAsiaTheme="minorEastAsia"/>
      <w:kern w:val="2"/>
      <w:sz w:val="21"/>
    </w:rPr>
  </w:style>
  <w:style w:type="character" w:customStyle="1" w:styleId="85">
    <w:name w:val="页眉 字符1"/>
    <w:basedOn w:val="38"/>
    <w:semiHidden/>
    <w:qFormat/>
    <w:uiPriority w:val="99"/>
    <w:rPr>
      <w:sz w:val="18"/>
      <w:szCs w:val="18"/>
    </w:rPr>
  </w:style>
  <w:style w:type="character" w:customStyle="1" w:styleId="86">
    <w:name w:val="页眉 字符11"/>
    <w:basedOn w:val="38"/>
    <w:semiHidden/>
    <w:qFormat/>
    <w:uiPriority w:val="99"/>
    <w:rPr>
      <w:rFonts w:cs="Times New Roman"/>
      <w:kern w:val="2"/>
      <w:sz w:val="18"/>
      <w:szCs w:val="18"/>
    </w:rPr>
  </w:style>
  <w:style w:type="character" w:customStyle="1" w:styleId="87">
    <w:name w:val="批注框文本 字符1"/>
    <w:basedOn w:val="38"/>
    <w:semiHidden/>
    <w:qFormat/>
    <w:uiPriority w:val="99"/>
    <w:rPr>
      <w:sz w:val="18"/>
      <w:szCs w:val="18"/>
    </w:rPr>
  </w:style>
  <w:style w:type="character" w:customStyle="1" w:styleId="88">
    <w:name w:val="批注框文本 字符11"/>
    <w:basedOn w:val="38"/>
    <w:semiHidden/>
    <w:qFormat/>
    <w:uiPriority w:val="99"/>
    <w:rPr>
      <w:rFonts w:cs="Times New Roman"/>
      <w:kern w:val="2"/>
      <w:sz w:val="18"/>
      <w:szCs w:val="18"/>
    </w:rPr>
  </w:style>
  <w:style w:type="character" w:customStyle="1" w:styleId="89">
    <w:name w:val="日期 字符1"/>
    <w:basedOn w:val="38"/>
    <w:semiHidden/>
    <w:qFormat/>
    <w:uiPriority w:val="99"/>
  </w:style>
  <w:style w:type="character" w:customStyle="1" w:styleId="90">
    <w:name w:val="日期 字符11"/>
    <w:basedOn w:val="38"/>
    <w:semiHidden/>
    <w:qFormat/>
    <w:uiPriority w:val="99"/>
    <w:rPr>
      <w:rFonts w:cs="Times New Roman"/>
      <w:kern w:val="2"/>
      <w:sz w:val="21"/>
    </w:rPr>
  </w:style>
  <w:style w:type="character" w:customStyle="1" w:styleId="91">
    <w:name w:val="页脚 字符1"/>
    <w:basedOn w:val="38"/>
    <w:semiHidden/>
    <w:qFormat/>
    <w:uiPriority w:val="99"/>
    <w:rPr>
      <w:sz w:val="18"/>
      <w:szCs w:val="18"/>
    </w:rPr>
  </w:style>
  <w:style w:type="character" w:customStyle="1" w:styleId="92">
    <w:name w:val="页脚 字符11"/>
    <w:basedOn w:val="38"/>
    <w:semiHidden/>
    <w:qFormat/>
    <w:uiPriority w:val="99"/>
    <w:rPr>
      <w:rFonts w:cs="Times New Roman"/>
      <w:kern w:val="2"/>
      <w:sz w:val="18"/>
      <w:szCs w:val="18"/>
    </w:rPr>
  </w:style>
  <w:style w:type="character" w:customStyle="1" w:styleId="93">
    <w:name w:val="正文文本缩进 2 字符1"/>
    <w:basedOn w:val="38"/>
    <w:semiHidden/>
    <w:qFormat/>
    <w:uiPriority w:val="99"/>
  </w:style>
  <w:style w:type="character" w:customStyle="1" w:styleId="94">
    <w:name w:val="正文文本缩进 2 字符11"/>
    <w:basedOn w:val="38"/>
    <w:semiHidden/>
    <w:qFormat/>
    <w:uiPriority w:val="99"/>
    <w:rPr>
      <w:rFonts w:cs="Times New Roman"/>
      <w:kern w:val="2"/>
      <w:sz w:val="21"/>
    </w:rPr>
  </w:style>
  <w:style w:type="character" w:customStyle="1" w:styleId="95">
    <w:name w:val="正文文本缩进 3 字符1"/>
    <w:basedOn w:val="38"/>
    <w:semiHidden/>
    <w:qFormat/>
    <w:uiPriority w:val="99"/>
    <w:rPr>
      <w:sz w:val="16"/>
      <w:szCs w:val="16"/>
    </w:rPr>
  </w:style>
  <w:style w:type="character" w:customStyle="1" w:styleId="96">
    <w:name w:val="正文文本缩进 3 字符11"/>
    <w:basedOn w:val="38"/>
    <w:semiHidden/>
    <w:qFormat/>
    <w:uiPriority w:val="99"/>
    <w:rPr>
      <w:rFonts w:cs="Times New Roman"/>
      <w:kern w:val="2"/>
      <w:sz w:val="16"/>
      <w:szCs w:val="16"/>
    </w:rPr>
  </w:style>
  <w:style w:type="character" w:customStyle="1" w:styleId="97">
    <w:name w:val="批注主题 字符1"/>
    <w:basedOn w:val="77"/>
    <w:semiHidden/>
    <w:qFormat/>
    <w:uiPriority w:val="99"/>
    <w:rPr>
      <w:b/>
      <w:bCs/>
    </w:rPr>
  </w:style>
  <w:style w:type="character" w:customStyle="1" w:styleId="98">
    <w:name w:val="批注主题 字符11"/>
    <w:basedOn w:val="78"/>
    <w:semiHidden/>
    <w:qFormat/>
    <w:uiPriority w:val="99"/>
    <w:rPr>
      <w:rFonts w:cs="Times New Roman"/>
      <w:b/>
      <w:bCs/>
      <w:kern w:val="2"/>
      <w:sz w:val="21"/>
    </w:rPr>
  </w:style>
  <w:style w:type="character" w:customStyle="1" w:styleId="99">
    <w:name w:val="标题 字符1"/>
    <w:basedOn w:val="38"/>
    <w:qFormat/>
    <w:uiPriority w:val="10"/>
    <w:rPr>
      <w:rFonts w:asciiTheme="majorHAnsi" w:hAnsiTheme="majorHAnsi" w:eastAsiaTheme="majorEastAsia" w:cstheme="majorBidi"/>
      <w:b/>
      <w:bCs/>
      <w:sz w:val="32"/>
      <w:szCs w:val="32"/>
    </w:rPr>
  </w:style>
  <w:style w:type="character" w:customStyle="1" w:styleId="100">
    <w:name w:val="标题 字符11"/>
    <w:basedOn w:val="38"/>
    <w:qFormat/>
    <w:uiPriority w:val="10"/>
    <w:rPr>
      <w:rFonts w:cs="Times New Roman" w:asciiTheme="majorHAnsi" w:hAnsiTheme="majorHAnsi" w:eastAsiaTheme="majorEastAsia"/>
      <w:b/>
      <w:bCs/>
      <w:kern w:val="2"/>
      <w:sz w:val="32"/>
      <w:szCs w:val="32"/>
    </w:rPr>
  </w:style>
  <w:style w:type="paragraph" w:customStyle="1" w:styleId="101">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2">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3">
    <w:name w:val="二级列表 Char"/>
    <w:basedOn w:val="1"/>
    <w:qFormat/>
    <w:uiPriority w:val="0"/>
    <w:rPr>
      <w:rFonts w:ascii="Calibri" w:hAnsi="Calibri" w:eastAsia="宋体" w:cs="Times New Roman"/>
      <w:szCs w:val="20"/>
    </w:rPr>
  </w:style>
  <w:style w:type="paragraph" w:customStyle="1" w:styleId="104">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5">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6">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7">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8">
    <w:name w:val="Char Char Char Char Char Char Char"/>
    <w:basedOn w:val="1"/>
    <w:qFormat/>
    <w:uiPriority w:val="0"/>
    <w:rPr>
      <w:rFonts w:ascii="Verdana" w:hAnsi="Verdana" w:eastAsia="宋体" w:cs="Times New Roman"/>
      <w:kern w:val="0"/>
      <w:sz w:val="20"/>
      <w:szCs w:val="20"/>
      <w:lang w:eastAsia="en-US"/>
    </w:rPr>
  </w:style>
  <w:style w:type="paragraph" w:customStyle="1" w:styleId="109">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0">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1">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2">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3">
    <w:name w:val="标书正文格式"/>
    <w:basedOn w:val="16"/>
    <w:link w:val="115"/>
    <w:qFormat/>
    <w:uiPriority w:val="0"/>
    <w:pPr>
      <w:spacing w:line="360" w:lineRule="auto"/>
      <w:ind w:firstLine="200" w:firstLineChars="200"/>
    </w:pPr>
    <w:rPr>
      <w:rFonts w:hAnsi="宋体"/>
      <w:color w:val="000000"/>
      <w:sz w:val="24"/>
      <w:szCs w:val="24"/>
    </w:rPr>
  </w:style>
  <w:style w:type="paragraph" w:customStyle="1" w:styleId="114">
    <w:name w:val="标书二级标题"/>
    <w:basedOn w:val="5"/>
    <w:link w:val="117"/>
    <w:qFormat/>
    <w:uiPriority w:val="0"/>
    <w:pPr>
      <w:spacing w:line="240" w:lineRule="auto"/>
      <w:jc w:val="left"/>
    </w:pPr>
    <w:rPr>
      <w:rFonts w:ascii="宋体" w:hAnsi="宋体" w:eastAsia="黑体"/>
      <w:b w:val="0"/>
      <w:sz w:val="28"/>
      <w:szCs w:val="30"/>
    </w:rPr>
  </w:style>
  <w:style w:type="character" w:customStyle="1" w:styleId="115">
    <w:name w:val="标书正文格式 字符"/>
    <w:link w:val="113"/>
    <w:qFormat/>
    <w:locked/>
    <w:uiPriority w:val="0"/>
    <w:rPr>
      <w:rFonts w:ascii="宋体" w:hAnsi="宋体"/>
      <w:color w:val="000000"/>
      <w:sz w:val="24"/>
      <w:szCs w:val="24"/>
    </w:rPr>
  </w:style>
  <w:style w:type="paragraph" w:customStyle="1" w:styleId="116">
    <w:name w:val="标书表格"/>
    <w:basedOn w:val="1"/>
    <w:link w:val="118"/>
    <w:qFormat/>
    <w:uiPriority w:val="0"/>
    <w:pPr>
      <w:jc w:val="center"/>
    </w:pPr>
    <w:rPr>
      <w:rFonts w:ascii="Times New Roman" w:hAnsi="Times New Roman" w:eastAsia="宋体" w:cs="Times New Roman"/>
      <w:b/>
      <w:szCs w:val="20"/>
    </w:rPr>
  </w:style>
  <w:style w:type="character" w:customStyle="1" w:styleId="117">
    <w:name w:val="标书二级标题 字符"/>
    <w:link w:val="114"/>
    <w:qFormat/>
    <w:locked/>
    <w:uiPriority w:val="0"/>
    <w:rPr>
      <w:rFonts w:ascii="宋体" w:hAnsi="宋体" w:eastAsia="黑体" w:cs="Times New Roman"/>
      <w:bCs/>
      <w:sz w:val="28"/>
      <w:szCs w:val="30"/>
    </w:rPr>
  </w:style>
  <w:style w:type="character" w:customStyle="1" w:styleId="118">
    <w:name w:val="标书表格 字符"/>
    <w:link w:val="116"/>
    <w:qFormat/>
    <w:locked/>
    <w:uiPriority w:val="0"/>
    <w:rPr>
      <w:rFonts w:ascii="Times New Roman" w:hAnsi="Times New Roman" w:eastAsia="宋体" w:cs="Times New Roman"/>
      <w:b/>
      <w:szCs w:val="20"/>
    </w:rPr>
  </w:style>
  <w:style w:type="paragraph" w:customStyle="1" w:styleId="119">
    <w:name w:val="标书三级标题"/>
    <w:basedOn w:val="6"/>
    <w:next w:val="113"/>
    <w:link w:val="120"/>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0">
    <w:name w:val="标书三级标题 字符"/>
    <w:link w:val="119"/>
    <w:qFormat/>
    <w:locked/>
    <w:uiPriority w:val="0"/>
    <w:rPr>
      <w:rFonts w:ascii="Times New Roman" w:hAnsi="Times New Roman" w:eastAsia="宋体" w:cs="Times New Roman"/>
      <w:b/>
      <w:bCs/>
      <w:color w:val="000000"/>
      <w:sz w:val="24"/>
      <w:szCs w:val="24"/>
    </w:rPr>
  </w:style>
  <w:style w:type="character" w:customStyle="1" w:styleId="121">
    <w:name w:val="标三级标题 字符"/>
    <w:link w:val="122"/>
    <w:qFormat/>
    <w:locked/>
    <w:uiPriority w:val="0"/>
    <w:rPr>
      <w:b/>
      <w:color w:val="000000"/>
      <w:sz w:val="24"/>
    </w:rPr>
  </w:style>
  <w:style w:type="paragraph" w:customStyle="1" w:styleId="122">
    <w:name w:val="标三级标题"/>
    <w:basedOn w:val="119"/>
    <w:link w:val="121"/>
    <w:qFormat/>
    <w:uiPriority w:val="0"/>
    <w:rPr>
      <w:rFonts w:asciiTheme="minorHAnsi" w:hAnsiTheme="minorHAnsi" w:eastAsiaTheme="minorEastAsia" w:cstheme="minorBidi"/>
      <w:bCs w:val="0"/>
      <w:szCs w:val="22"/>
    </w:rPr>
  </w:style>
  <w:style w:type="character" w:customStyle="1" w:styleId="123">
    <w:name w:val="标正文 字符"/>
    <w:link w:val="124"/>
    <w:qFormat/>
    <w:locked/>
    <w:uiPriority w:val="0"/>
    <w:rPr>
      <w:rFonts w:ascii="宋体" w:eastAsia="宋体"/>
      <w:color w:val="000000"/>
      <w:sz w:val="24"/>
    </w:rPr>
  </w:style>
  <w:style w:type="paragraph" w:customStyle="1" w:styleId="124">
    <w:name w:val="标正文"/>
    <w:basedOn w:val="113"/>
    <w:link w:val="123"/>
    <w:qFormat/>
    <w:uiPriority w:val="0"/>
    <w:pPr>
      <w:ind w:firstLine="480"/>
    </w:pPr>
    <w:rPr>
      <w:rFonts w:eastAsia="宋体" w:hAnsiTheme="minorHAnsi"/>
      <w:szCs w:val="22"/>
    </w:rPr>
  </w:style>
  <w:style w:type="paragraph" w:customStyle="1" w:styleId="125">
    <w:name w:val="TOC 标题1"/>
    <w:basedOn w:val="4"/>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6">
    <w:name w:val="HR正文表格"/>
    <w:basedOn w:val="1"/>
    <w:qFormat/>
    <w:uiPriority w:val="0"/>
    <w:pPr>
      <w:spacing w:beforeLines="25" w:afterLines="25" w:line="300" w:lineRule="auto"/>
    </w:pPr>
    <w:rPr>
      <w:szCs w:val="24"/>
    </w:rPr>
  </w:style>
  <w:style w:type="paragraph" w:styleId="127">
    <w:name w:val="List Paragraph"/>
    <w:basedOn w:val="1"/>
    <w:qFormat/>
    <w:uiPriority w:val="99"/>
    <w:pPr>
      <w:ind w:firstLine="420" w:firstLineChars="200"/>
    </w:pPr>
  </w:style>
  <w:style w:type="paragraph" w:customStyle="1" w:styleId="128">
    <w:name w:val="WPSOffice手动目录 1"/>
    <w:qFormat/>
    <w:uiPriority w:val="0"/>
    <w:rPr>
      <w:rFonts w:ascii="Times New Roman" w:hAnsi="Times New Roman" w:eastAsia="宋体" w:cs="Times New Roman"/>
      <w:lang w:val="en-US" w:eastAsia="zh-CN" w:bidi="ar-SA"/>
    </w:rPr>
  </w:style>
  <w:style w:type="table" w:customStyle="1" w:styleId="129">
    <w:name w:val="Table Normal"/>
    <w:semiHidden/>
    <w:unhideWhenUsed/>
    <w:qFormat/>
    <w:uiPriority w:val="0"/>
    <w:tblPr>
      <w:tblCellMar>
        <w:top w:w="0" w:type="dxa"/>
        <w:left w:w="0" w:type="dxa"/>
        <w:bottom w:w="0" w:type="dxa"/>
        <w:right w:w="0" w:type="dxa"/>
      </w:tblCellMar>
    </w:tblPr>
  </w:style>
  <w:style w:type="character" w:customStyle="1" w:styleId="130">
    <w:name w:val="NormalCharacter"/>
    <w:qFormat/>
    <w:uiPriority w:val="0"/>
  </w:style>
  <w:style w:type="paragraph" w:customStyle="1" w:styleId="131">
    <w:name w:val="Table Paragraph"/>
    <w:basedOn w:val="1"/>
    <w:qFormat/>
    <w:uiPriority w:val="1"/>
    <w:rPr>
      <w:rFonts w:ascii="宋体" w:hAnsi="宋体" w:eastAsia="宋体" w:cs="宋体"/>
    </w:rPr>
  </w:style>
  <w:style w:type="paragraph" w:customStyle="1" w:styleId="132">
    <w:name w:val="标书一级标题"/>
    <w:basedOn w:val="4"/>
    <w:qFormat/>
    <w:uiPriority w:val="0"/>
    <w:rPr>
      <w:rFonts w:eastAsia="黑体"/>
      <w:b w:val="0"/>
      <w:color w:val="000000"/>
      <w:sz w:val="30"/>
      <w:szCs w:val="24"/>
    </w:rPr>
  </w:style>
  <w:style w:type="paragraph" w:customStyle="1" w:styleId="133">
    <w:name w:val="无间隔1"/>
    <w:qFormat/>
    <w:uiPriority w:val="0"/>
    <w:rPr>
      <w:rFonts w:ascii="Calibri" w:hAnsi="Calibri" w:eastAsia="Calibri" w:cs="Times New Roman"/>
      <w:szCs w:val="22"/>
      <w:lang w:val="en-GB" w:eastAsia="en-US" w:bidi="ar-SA"/>
    </w:rPr>
  </w:style>
  <w:style w:type="paragraph" w:customStyle="1" w:styleId="134">
    <w:name w:val="CM22"/>
    <w:basedOn w:val="75"/>
    <w:next w:val="75"/>
    <w:qFormat/>
    <w:uiPriority w:val="0"/>
    <w:pPr>
      <w:spacing w:after="125"/>
    </w:pPr>
    <w:rPr>
      <w:rFonts w:cs="Times New Roman"/>
      <w:color w:val="auto"/>
    </w:rPr>
  </w:style>
  <w:style w:type="paragraph" w:customStyle="1" w:styleId="135">
    <w:name w:val="List Paragraph1"/>
    <w:basedOn w:val="1"/>
    <w:qFormat/>
    <w:uiPriority w:val="0"/>
    <w:pPr>
      <w:ind w:firstLine="420" w:firstLineChars="200"/>
    </w:pPr>
    <w:rPr>
      <w:rFonts w:ascii="Calibri" w:hAnsi="Calibri"/>
    </w:rPr>
  </w:style>
  <w:style w:type="paragraph" w:customStyle="1" w:styleId="136">
    <w:name w:val="样式 正文首行缩进 2 + Arial"/>
    <w:basedOn w:val="35"/>
    <w:qFormat/>
    <w:uiPriority w:val="0"/>
    <w:pPr>
      <w:spacing w:line="320" w:lineRule="atLeast"/>
      <w:ind w:left="0" w:leftChars="0" w:firstLine="200"/>
    </w:pPr>
    <w:rPr>
      <w:rFonts w:ascii="Arial" w:hAnsi="Arial"/>
      <w:kern w:val="0"/>
    </w:rPr>
  </w:style>
  <w:style w:type="paragraph" w:customStyle="1" w:styleId="137">
    <w:name w:val="表格标题"/>
    <w:basedOn w:val="138"/>
    <w:qFormat/>
    <w:uiPriority w:val="0"/>
    <w:pPr>
      <w:jc w:val="center"/>
    </w:pPr>
    <w:rPr>
      <w:b/>
    </w:rPr>
  </w:style>
  <w:style w:type="paragraph" w:customStyle="1" w:styleId="138">
    <w:name w:val="表格正文"/>
    <w:basedOn w:val="1"/>
    <w:next w:val="1"/>
    <w:qFormat/>
    <w:uiPriority w:val="0"/>
    <w:pPr>
      <w:spacing w:before="20" w:beforeLines="20" w:after="20" w:afterLines="20" w:line="300" w:lineRule="exact"/>
      <w:contextualSpacing/>
      <w:jc w:val="left"/>
    </w:pPr>
  </w:style>
  <w:style w:type="paragraph" w:customStyle="1" w:styleId="139">
    <w:name w:val="正文 20241128"/>
    <w:basedOn w:val="1"/>
    <w:qFormat/>
    <w:uiPriority w:val="0"/>
    <w:pPr>
      <w:spacing w:line="360" w:lineRule="auto"/>
      <w:ind w:right="2" w:firstLine="480" w:firstLineChars="200"/>
    </w:pPr>
    <w:rPr>
      <w:rFonts w:ascii="宋体" w:hAnsi="宋体" w:cs="宋体"/>
      <w:color w:val="000000"/>
      <w:szCs w:val="24"/>
    </w:rPr>
  </w:style>
  <w:style w:type="paragraph" w:customStyle="1" w:styleId="140">
    <w:name w:val="正文内容"/>
    <w:qFormat/>
    <w:uiPriority w:val="0"/>
    <w:pPr>
      <w:widowControl w:val="0"/>
      <w:ind w:firstLine="200" w:firstLineChars="200"/>
      <w:jc w:val="both"/>
    </w:pPr>
    <w:rPr>
      <w:rFonts w:ascii="Times New Roman" w:hAnsi="Times New Roman" w:eastAsia="仿宋_GB2312" w:cs="Times New Roman"/>
      <w:bCs/>
      <w:kern w:val="2"/>
      <w:sz w:val="28"/>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8" Type="http://schemas.openxmlformats.org/officeDocument/2006/relationships/fontTable" Target="fontTable.xml"/><Relationship Id="rId57" Type="http://schemas.openxmlformats.org/officeDocument/2006/relationships/numbering" Target="numbering.xml"/><Relationship Id="rId56" Type="http://schemas.openxmlformats.org/officeDocument/2006/relationships/customXml" Target="../customXml/item1.xml"/><Relationship Id="rId55" Type="http://schemas.openxmlformats.org/officeDocument/2006/relationships/image" Target="media/image15.png"/><Relationship Id="rId54" Type="http://schemas.openxmlformats.org/officeDocument/2006/relationships/image" Target="media/image14.png"/><Relationship Id="rId53" Type="http://schemas.openxmlformats.org/officeDocument/2006/relationships/image" Target="media/image13.png"/><Relationship Id="rId52" Type="http://schemas.openxmlformats.org/officeDocument/2006/relationships/image" Target="media/image12.png"/><Relationship Id="rId51" Type="http://schemas.openxmlformats.org/officeDocument/2006/relationships/image" Target="media/image11.png"/><Relationship Id="rId50" Type="http://schemas.openxmlformats.org/officeDocument/2006/relationships/image" Target="media/image10.png"/><Relationship Id="rId5" Type="http://schemas.openxmlformats.org/officeDocument/2006/relationships/header" Target="header1.xml"/><Relationship Id="rId49" Type="http://schemas.openxmlformats.org/officeDocument/2006/relationships/image" Target="media/image9.png"/><Relationship Id="rId48" Type="http://schemas.openxmlformats.org/officeDocument/2006/relationships/image" Target="media/image8.png"/><Relationship Id="rId47" Type="http://schemas.openxmlformats.org/officeDocument/2006/relationships/image" Target="media/image7.png"/><Relationship Id="rId46" Type="http://schemas.openxmlformats.org/officeDocument/2006/relationships/image" Target="media/image6.png"/><Relationship Id="rId45" Type="http://schemas.openxmlformats.org/officeDocument/2006/relationships/image" Target="media/image5.png"/><Relationship Id="rId44" Type="http://schemas.openxmlformats.org/officeDocument/2006/relationships/image" Target="media/image4.png"/><Relationship Id="rId43" Type="http://schemas.openxmlformats.org/officeDocument/2006/relationships/image" Target="media/image3.png"/><Relationship Id="rId42" Type="http://schemas.openxmlformats.org/officeDocument/2006/relationships/image" Target="media/image2.png"/><Relationship Id="rId41" Type="http://schemas.openxmlformats.org/officeDocument/2006/relationships/image" Target="media/image1.png"/><Relationship Id="rId40" Type="http://schemas.openxmlformats.org/officeDocument/2006/relationships/theme" Target="theme/theme1.xml"/><Relationship Id="rId4" Type="http://schemas.openxmlformats.org/officeDocument/2006/relationships/footer" Target="footer2.xml"/><Relationship Id="rId39" Type="http://schemas.openxmlformats.org/officeDocument/2006/relationships/footer" Target="footer29.xml"/><Relationship Id="rId38" Type="http://schemas.openxmlformats.org/officeDocument/2006/relationships/footer" Target="footer28.xml"/><Relationship Id="rId37" Type="http://schemas.openxmlformats.org/officeDocument/2006/relationships/header" Target="header8.xml"/><Relationship Id="rId36" Type="http://schemas.openxmlformats.org/officeDocument/2006/relationships/header" Target="header7.xml"/><Relationship Id="rId35" Type="http://schemas.openxmlformats.org/officeDocument/2006/relationships/footer" Target="footer27.xml"/><Relationship Id="rId34" Type="http://schemas.openxmlformats.org/officeDocument/2006/relationships/footer" Target="footer26.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footer" Target="foot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footer" Target="footer10.xml"/><Relationship Id="rId17" Type="http://schemas.openxmlformats.org/officeDocument/2006/relationships/header" Target="header6.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85</Pages>
  <Words>11808</Words>
  <Characters>12670</Characters>
  <Lines>410</Lines>
  <Paragraphs>115</Paragraphs>
  <TotalTime>0</TotalTime>
  <ScaleCrop>false</ScaleCrop>
  <LinksUpToDate>false</LinksUpToDate>
  <CharactersWithSpaces>12953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2024-12-13T03:19:00Z</dcterms:created>
  <dc:creator>ZQNet</dc:creator>
  <cp:lastModifiedBy>张志纯</cp:lastModifiedBy>
  <cp:lastPrinted>2022-07-01T11:19:00Z</cp:lastPrinted>
  <dcterms:modified xsi:type="dcterms:W3CDTF">2025-11-07T08:59:11Z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0222C83AF7C04488B6B23741A8351E19_13</vt:lpwstr>
  </property>
  <property fmtid="{D5CDD505-2E9C-101B-9397-08002B2CF9AE}" pid="4" name="KSOTemplateDocerSaveRecord">
    <vt:lpwstr>eyJoZGlkIjoiODY0NTcxYjI4Y2NjNTJkNmIwYzM2NDk2ZTI0NWYxZjQiLCJ1c2VySWQiOiIxNjcxODY1NzIwIn0=</vt:lpwstr>
  </property>
</Properties>
</file>